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EC4D2" w14:textId="5EF60EF5" w:rsidR="00755BDA" w:rsidRDefault="00755BDA" w:rsidP="00670C78">
      <w:pPr>
        <w:jc w:val="center"/>
        <w:rPr>
          <w:rFonts w:ascii="Arial" w:eastAsia="Times New Roman" w:hAnsi="Arial" w:cs="Arial"/>
          <w:b/>
          <w:bCs/>
          <w:sz w:val="28"/>
          <w:szCs w:val="28"/>
        </w:rPr>
      </w:pPr>
      <w:r w:rsidRPr="00755BDA">
        <w:rPr>
          <w:rFonts w:ascii="Arial" w:eastAsia="Times New Roman" w:hAnsi="Arial" w:cs="Arial"/>
          <w:b/>
          <w:bCs/>
          <w:sz w:val="28"/>
          <w:szCs w:val="28"/>
        </w:rPr>
        <w:t xml:space="preserve">Nobelova cena za ekonomii pro Bena </w:t>
      </w:r>
      <w:proofErr w:type="spellStart"/>
      <w:r w:rsidRPr="00755BDA">
        <w:rPr>
          <w:rFonts w:ascii="Arial" w:eastAsia="Times New Roman" w:hAnsi="Arial" w:cs="Arial"/>
          <w:b/>
          <w:bCs/>
          <w:sz w:val="28"/>
          <w:szCs w:val="28"/>
        </w:rPr>
        <w:t>Bernankeho</w:t>
      </w:r>
      <w:proofErr w:type="spellEnd"/>
      <w:r w:rsidRPr="00755BDA">
        <w:rPr>
          <w:rFonts w:ascii="Arial" w:eastAsia="Times New Roman" w:hAnsi="Arial" w:cs="Arial"/>
          <w:b/>
          <w:bCs/>
          <w:sz w:val="28"/>
          <w:szCs w:val="28"/>
        </w:rPr>
        <w:t xml:space="preserve">, </w:t>
      </w:r>
      <w:proofErr w:type="spellStart"/>
      <w:r w:rsidRPr="00755BDA">
        <w:rPr>
          <w:rFonts w:ascii="Arial" w:eastAsia="Times New Roman" w:hAnsi="Arial" w:cs="Arial"/>
          <w:b/>
          <w:bCs/>
          <w:sz w:val="28"/>
          <w:szCs w:val="28"/>
        </w:rPr>
        <w:t>Douglase</w:t>
      </w:r>
      <w:proofErr w:type="spellEnd"/>
      <w:r w:rsidRPr="00755BDA">
        <w:rPr>
          <w:rFonts w:ascii="Arial" w:eastAsia="Times New Roman" w:hAnsi="Arial" w:cs="Arial"/>
          <w:b/>
          <w:bCs/>
          <w:sz w:val="28"/>
          <w:szCs w:val="28"/>
        </w:rPr>
        <w:t xml:space="preserve"> </w:t>
      </w:r>
      <w:proofErr w:type="spellStart"/>
      <w:r w:rsidRPr="00755BDA">
        <w:rPr>
          <w:rFonts w:ascii="Arial" w:eastAsia="Times New Roman" w:hAnsi="Arial" w:cs="Arial"/>
          <w:b/>
          <w:bCs/>
          <w:sz w:val="28"/>
          <w:szCs w:val="28"/>
        </w:rPr>
        <w:t>Diamonda</w:t>
      </w:r>
      <w:proofErr w:type="spellEnd"/>
      <w:r w:rsidRPr="00755BDA">
        <w:rPr>
          <w:rFonts w:ascii="Arial" w:eastAsia="Times New Roman" w:hAnsi="Arial" w:cs="Arial"/>
          <w:b/>
          <w:bCs/>
          <w:sz w:val="28"/>
          <w:szCs w:val="28"/>
        </w:rPr>
        <w:t xml:space="preserve"> a Philipa </w:t>
      </w:r>
      <w:proofErr w:type="spellStart"/>
      <w:r w:rsidRPr="00755BDA">
        <w:rPr>
          <w:rFonts w:ascii="Arial" w:eastAsia="Times New Roman" w:hAnsi="Arial" w:cs="Arial"/>
          <w:b/>
          <w:bCs/>
          <w:sz w:val="28"/>
          <w:szCs w:val="28"/>
        </w:rPr>
        <w:t>Dybviga</w:t>
      </w:r>
      <w:proofErr w:type="spellEnd"/>
    </w:p>
    <w:p w14:paraId="52C55CF4" w14:textId="0BE80623" w:rsidR="00670C78" w:rsidRPr="00B06EC7" w:rsidRDefault="00670C78" w:rsidP="00670C78">
      <w:pPr>
        <w:jc w:val="center"/>
        <w:rPr>
          <w:rFonts w:ascii="Arial" w:eastAsia="Times New Roman" w:hAnsi="Arial" w:cs="Arial"/>
          <w:sz w:val="24"/>
          <w:szCs w:val="24"/>
        </w:rPr>
      </w:pPr>
      <w:r w:rsidRPr="00B06EC7">
        <w:rPr>
          <w:rFonts w:ascii="Arial" w:eastAsia="Times New Roman" w:hAnsi="Arial" w:cs="Arial"/>
          <w:sz w:val="24"/>
          <w:szCs w:val="24"/>
        </w:rPr>
        <w:t>(</w:t>
      </w:r>
      <w:r w:rsidR="00B06EC7">
        <w:rPr>
          <w:rFonts w:ascii="Arial" w:eastAsia="Times New Roman" w:hAnsi="Arial" w:cs="Arial"/>
          <w:sz w:val="24"/>
          <w:szCs w:val="24"/>
        </w:rPr>
        <w:t xml:space="preserve">komentář </w:t>
      </w:r>
      <w:proofErr w:type="spellStart"/>
      <w:r w:rsidR="00B06EC7" w:rsidRPr="00B06EC7">
        <w:rPr>
          <w:rFonts w:ascii="Arial" w:eastAsia="Times New Roman" w:hAnsi="Arial" w:cs="Arial"/>
          <w:sz w:val="24"/>
          <w:szCs w:val="24"/>
        </w:rPr>
        <w:t>Ass</w:t>
      </w:r>
      <w:proofErr w:type="spellEnd"/>
      <w:r w:rsidR="00B06EC7" w:rsidRPr="00B06EC7">
        <w:rPr>
          <w:rFonts w:ascii="Arial" w:eastAsia="Times New Roman" w:hAnsi="Arial" w:cs="Arial"/>
          <w:sz w:val="24"/>
          <w:szCs w:val="24"/>
        </w:rPr>
        <w:t xml:space="preserve">. Prof. Jaroslav Borovička, Ph.D., NYU, a </w:t>
      </w:r>
      <w:r w:rsidRPr="00B06EC7">
        <w:rPr>
          <w:rFonts w:ascii="Arial" w:eastAsia="Times New Roman" w:hAnsi="Arial" w:cs="Arial"/>
          <w:sz w:val="24"/>
          <w:szCs w:val="24"/>
        </w:rPr>
        <w:t xml:space="preserve">prof. Ing. Štěpán </w:t>
      </w:r>
      <w:proofErr w:type="spellStart"/>
      <w:r w:rsidRPr="00B06EC7">
        <w:rPr>
          <w:rFonts w:ascii="Arial" w:eastAsia="Times New Roman" w:hAnsi="Arial" w:cs="Arial"/>
          <w:sz w:val="24"/>
          <w:szCs w:val="24"/>
        </w:rPr>
        <w:t>Jurajd</w:t>
      </w:r>
      <w:r w:rsidR="00B06EC7" w:rsidRPr="00B06EC7">
        <w:rPr>
          <w:rFonts w:ascii="Arial" w:eastAsia="Times New Roman" w:hAnsi="Arial" w:cs="Arial"/>
          <w:sz w:val="24"/>
          <w:szCs w:val="24"/>
        </w:rPr>
        <w:t>a</w:t>
      </w:r>
      <w:proofErr w:type="spellEnd"/>
      <w:r w:rsidRPr="00B06EC7">
        <w:rPr>
          <w:rFonts w:ascii="Arial" w:eastAsia="Times New Roman" w:hAnsi="Arial" w:cs="Arial"/>
          <w:sz w:val="24"/>
          <w:szCs w:val="24"/>
        </w:rPr>
        <w:t>, Ph.D.</w:t>
      </w:r>
      <w:r w:rsidR="00E12CB9" w:rsidRPr="00B06EC7">
        <w:rPr>
          <w:rFonts w:ascii="Arial" w:eastAsia="Times New Roman" w:hAnsi="Arial" w:cs="Arial"/>
          <w:sz w:val="24"/>
          <w:szCs w:val="24"/>
        </w:rPr>
        <w:t>, CERGE-EI</w:t>
      </w:r>
      <w:r w:rsidRPr="00B06EC7">
        <w:rPr>
          <w:rFonts w:ascii="Arial" w:eastAsia="Times New Roman" w:hAnsi="Arial" w:cs="Arial"/>
          <w:sz w:val="24"/>
          <w:szCs w:val="24"/>
        </w:rPr>
        <w:t>)</w:t>
      </w:r>
    </w:p>
    <w:p w14:paraId="03B188E8" w14:textId="77777777" w:rsidR="00755BDA" w:rsidRPr="00755BDA" w:rsidRDefault="00755BDA" w:rsidP="00755BDA">
      <w:pPr>
        <w:jc w:val="both"/>
        <w:rPr>
          <w:rFonts w:ascii="Arial" w:eastAsia="Times New Roman" w:hAnsi="Arial" w:cs="Arial"/>
          <w:sz w:val="24"/>
          <w:szCs w:val="24"/>
        </w:rPr>
      </w:pPr>
    </w:p>
    <w:p w14:paraId="4CDDCCE0" w14:textId="77777777"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 xml:space="preserve">Vynikající volba. </w:t>
      </w:r>
      <w:proofErr w:type="spellStart"/>
      <w:r w:rsidRPr="00755BDA">
        <w:rPr>
          <w:rFonts w:ascii="Arial" w:eastAsia="Times New Roman" w:hAnsi="Arial" w:cs="Arial"/>
          <w:sz w:val="24"/>
          <w:szCs w:val="24"/>
        </w:rPr>
        <w:t>Diamondův</w:t>
      </w:r>
      <w:proofErr w:type="spellEnd"/>
      <w:r w:rsidRPr="00755BDA">
        <w:rPr>
          <w:rFonts w:ascii="Arial" w:eastAsia="Times New Roman" w:hAnsi="Arial" w:cs="Arial"/>
          <w:sz w:val="24"/>
          <w:szCs w:val="24"/>
        </w:rPr>
        <w:t xml:space="preserve"> a </w:t>
      </w:r>
      <w:proofErr w:type="spellStart"/>
      <w:r w:rsidRPr="00755BDA">
        <w:rPr>
          <w:rFonts w:ascii="Arial" w:eastAsia="Times New Roman" w:hAnsi="Arial" w:cs="Arial"/>
          <w:sz w:val="24"/>
          <w:szCs w:val="24"/>
        </w:rPr>
        <w:t>Dybvigův</w:t>
      </w:r>
      <w:proofErr w:type="spellEnd"/>
      <w:r w:rsidRPr="00755BDA">
        <w:rPr>
          <w:rFonts w:ascii="Arial" w:eastAsia="Times New Roman" w:hAnsi="Arial" w:cs="Arial"/>
          <w:sz w:val="24"/>
          <w:szCs w:val="24"/>
        </w:rPr>
        <w:t xml:space="preserve"> model z roku 1983 </w:t>
      </w:r>
      <w:proofErr w:type="gramStart"/>
      <w:r w:rsidRPr="00755BDA">
        <w:rPr>
          <w:rFonts w:ascii="Arial" w:eastAsia="Times New Roman" w:hAnsi="Arial" w:cs="Arial"/>
          <w:sz w:val="24"/>
          <w:szCs w:val="24"/>
        </w:rPr>
        <w:t>slouží</w:t>
      </w:r>
      <w:proofErr w:type="gramEnd"/>
      <w:r w:rsidRPr="00755BDA">
        <w:rPr>
          <w:rFonts w:ascii="Arial" w:eastAsia="Times New Roman" w:hAnsi="Arial" w:cs="Arial"/>
          <w:sz w:val="24"/>
          <w:szCs w:val="24"/>
        </w:rPr>
        <w:t xml:space="preserve"> k pochopení toho, jakým způsobem banky takzvaně transformují likviditu. </w:t>
      </w:r>
      <w:proofErr w:type="spellStart"/>
      <w:r w:rsidRPr="00755BDA">
        <w:rPr>
          <w:rFonts w:ascii="Arial" w:eastAsia="Times New Roman" w:hAnsi="Arial" w:cs="Arial"/>
          <w:sz w:val="24"/>
          <w:szCs w:val="24"/>
        </w:rPr>
        <w:t>Transformance</w:t>
      </w:r>
      <w:proofErr w:type="spellEnd"/>
      <w:r w:rsidRPr="00755BDA">
        <w:rPr>
          <w:rFonts w:ascii="Arial" w:eastAsia="Times New Roman" w:hAnsi="Arial" w:cs="Arial"/>
          <w:sz w:val="24"/>
          <w:szCs w:val="24"/>
        </w:rPr>
        <w:t xml:space="preserve"> likvidity znamená, že banky na jedné straně </w:t>
      </w:r>
      <w:proofErr w:type="gramStart"/>
      <w:r w:rsidRPr="00755BDA">
        <w:rPr>
          <w:rFonts w:ascii="Arial" w:eastAsia="Times New Roman" w:hAnsi="Arial" w:cs="Arial"/>
          <w:sz w:val="24"/>
          <w:szCs w:val="24"/>
        </w:rPr>
        <w:t>dokáží</w:t>
      </w:r>
      <w:proofErr w:type="gramEnd"/>
      <w:r w:rsidRPr="00755BDA">
        <w:rPr>
          <w:rFonts w:ascii="Arial" w:eastAsia="Times New Roman" w:hAnsi="Arial" w:cs="Arial"/>
          <w:sz w:val="24"/>
          <w:szCs w:val="24"/>
        </w:rPr>
        <w:t xml:space="preserve"> nabízet dlouhodobé rizikové úvěry firmám, a na druhé straně je financují pomocí bezrizikových krátkodobých vkladů od domácností.</w:t>
      </w:r>
    </w:p>
    <w:p w14:paraId="740987BC" w14:textId="77777777" w:rsidR="00755BDA" w:rsidRPr="00755BDA" w:rsidRDefault="00755BDA" w:rsidP="00755BDA">
      <w:pPr>
        <w:jc w:val="both"/>
        <w:rPr>
          <w:rFonts w:ascii="Arial" w:eastAsia="Times New Roman" w:hAnsi="Arial" w:cs="Arial"/>
          <w:sz w:val="24"/>
          <w:szCs w:val="24"/>
        </w:rPr>
      </w:pPr>
    </w:p>
    <w:p w14:paraId="2CA939C0" w14:textId="77777777"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 xml:space="preserve">Ben </w:t>
      </w:r>
      <w:proofErr w:type="spellStart"/>
      <w:r w:rsidRPr="00755BDA">
        <w:rPr>
          <w:rFonts w:ascii="Arial" w:eastAsia="Times New Roman" w:hAnsi="Arial" w:cs="Arial"/>
          <w:sz w:val="24"/>
          <w:szCs w:val="24"/>
        </w:rPr>
        <w:t>Bernanke</w:t>
      </w:r>
      <w:proofErr w:type="spellEnd"/>
      <w:r w:rsidRPr="00755BDA">
        <w:rPr>
          <w:rFonts w:ascii="Arial" w:eastAsia="Times New Roman" w:hAnsi="Arial" w:cs="Arial"/>
          <w:sz w:val="24"/>
          <w:szCs w:val="24"/>
        </w:rPr>
        <w:t xml:space="preserve"> studoval empiricky a teoreticky velkou hospodářskou krizi z 30. let 20. století a v práci s Markem </w:t>
      </w:r>
      <w:proofErr w:type="spellStart"/>
      <w:r w:rsidRPr="00755BDA">
        <w:rPr>
          <w:rFonts w:ascii="Arial" w:eastAsia="Times New Roman" w:hAnsi="Arial" w:cs="Arial"/>
          <w:sz w:val="24"/>
          <w:szCs w:val="24"/>
        </w:rPr>
        <w:t>Gertlerem</w:t>
      </w:r>
      <w:proofErr w:type="spellEnd"/>
      <w:r w:rsidRPr="00755BDA">
        <w:rPr>
          <w:rFonts w:ascii="Arial" w:eastAsia="Times New Roman" w:hAnsi="Arial" w:cs="Arial"/>
          <w:sz w:val="24"/>
          <w:szCs w:val="24"/>
        </w:rPr>
        <w:t xml:space="preserve"> zásadně přispěl k položení základů toho, jak zabudovat mechanismy a nedokonalosti fungování finančního sektoru do makroekonomie.</w:t>
      </w:r>
    </w:p>
    <w:p w14:paraId="7319375D" w14:textId="77777777" w:rsidR="00755BDA" w:rsidRPr="00755BDA" w:rsidRDefault="00755BDA" w:rsidP="00755BDA">
      <w:pPr>
        <w:jc w:val="both"/>
        <w:rPr>
          <w:rFonts w:ascii="Arial" w:eastAsia="Times New Roman" w:hAnsi="Arial" w:cs="Arial"/>
          <w:sz w:val="24"/>
          <w:szCs w:val="24"/>
        </w:rPr>
      </w:pPr>
    </w:p>
    <w:p w14:paraId="296DE8F7" w14:textId="77777777"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Co všechny práce spojuje, je pochopení toho, že ekonomická rizika ve finančním sektoru, který je přirozeně nedokonalý, nelze zcela eliminovat, ale lze je řídit pomocí vhodné struktury finančních institucí a regulace.</w:t>
      </w:r>
    </w:p>
    <w:p w14:paraId="788F2112" w14:textId="77777777" w:rsidR="00755BDA" w:rsidRPr="00755BDA" w:rsidRDefault="00755BDA" w:rsidP="00755BDA">
      <w:pPr>
        <w:jc w:val="both"/>
        <w:rPr>
          <w:rFonts w:ascii="Arial" w:eastAsia="Times New Roman" w:hAnsi="Arial" w:cs="Arial"/>
          <w:sz w:val="24"/>
          <w:szCs w:val="24"/>
        </w:rPr>
      </w:pPr>
    </w:p>
    <w:p w14:paraId="25F4AB79" w14:textId="0885008E"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 xml:space="preserve">Například v případě </w:t>
      </w:r>
      <w:proofErr w:type="spellStart"/>
      <w:r w:rsidRPr="00755BDA">
        <w:rPr>
          <w:rFonts w:ascii="Arial" w:eastAsia="Times New Roman" w:hAnsi="Arial" w:cs="Arial"/>
          <w:sz w:val="24"/>
          <w:szCs w:val="24"/>
        </w:rPr>
        <w:t>Diamondova</w:t>
      </w:r>
      <w:proofErr w:type="spellEnd"/>
      <w:r w:rsidRPr="00755BDA">
        <w:rPr>
          <w:rFonts w:ascii="Arial" w:eastAsia="Times New Roman" w:hAnsi="Arial" w:cs="Arial"/>
          <w:sz w:val="24"/>
          <w:szCs w:val="24"/>
        </w:rPr>
        <w:t xml:space="preserve"> a </w:t>
      </w:r>
      <w:proofErr w:type="spellStart"/>
      <w:r w:rsidRPr="00755BDA">
        <w:rPr>
          <w:rFonts w:ascii="Arial" w:eastAsia="Times New Roman" w:hAnsi="Arial" w:cs="Arial"/>
          <w:sz w:val="24"/>
          <w:szCs w:val="24"/>
        </w:rPr>
        <w:t>Dybvigova</w:t>
      </w:r>
      <w:proofErr w:type="spellEnd"/>
      <w:r w:rsidRPr="00755BDA">
        <w:rPr>
          <w:rFonts w:ascii="Arial" w:eastAsia="Times New Roman" w:hAnsi="Arial" w:cs="Arial"/>
          <w:sz w:val="24"/>
          <w:szCs w:val="24"/>
        </w:rPr>
        <w:t xml:space="preserve"> modelu banka nabízí firmám úvěry na dlouhodobě atraktivní investice, avšak pokud by financování těchto investic bylo ukončeno předčasně, dojde ke ztrátám. Vklady domácností jsou naproti tomu takzvaně na požádání, banka je musí uspokojit okamžitě. Při transformaci likvidity tak dochází k</w:t>
      </w:r>
      <w:r>
        <w:rPr>
          <w:rFonts w:ascii="Arial" w:eastAsia="Times New Roman" w:hAnsi="Arial" w:cs="Arial"/>
          <w:sz w:val="24"/>
          <w:szCs w:val="24"/>
        </w:rPr>
        <w:t> </w:t>
      </w:r>
      <w:r w:rsidRPr="00755BDA">
        <w:rPr>
          <w:rFonts w:ascii="Arial" w:eastAsia="Times New Roman" w:hAnsi="Arial" w:cs="Arial"/>
          <w:sz w:val="24"/>
          <w:szCs w:val="24"/>
        </w:rPr>
        <w:t>situaci, kdy střadatelé sice mají právo si peníze vybrat, ale pokud by to udělali hromadně, musela by banka prodat svoje dlouhodobé investice se ztrátou, takže by nemohly být splaceny vklady všech střadatelů.</w:t>
      </w:r>
    </w:p>
    <w:p w14:paraId="36630538" w14:textId="77777777" w:rsidR="00755BDA" w:rsidRPr="00755BDA" w:rsidRDefault="00755BDA" w:rsidP="00755BDA">
      <w:pPr>
        <w:jc w:val="both"/>
        <w:rPr>
          <w:rFonts w:ascii="Arial" w:eastAsia="Times New Roman" w:hAnsi="Arial" w:cs="Arial"/>
          <w:sz w:val="24"/>
          <w:szCs w:val="24"/>
        </w:rPr>
      </w:pPr>
    </w:p>
    <w:p w14:paraId="0FCBFB08" w14:textId="4704C50A"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 xml:space="preserve">Nestabilita spočívá v tom, že může dojít k pádu banky v důsledku sebenaplňujících se očekávání. Pokud si střadatelé začnou myslet, že se ostatní střadatelé </w:t>
      </w:r>
      <w:proofErr w:type="gramStart"/>
      <w:r w:rsidRPr="00755BDA">
        <w:rPr>
          <w:rFonts w:ascii="Arial" w:eastAsia="Times New Roman" w:hAnsi="Arial" w:cs="Arial"/>
          <w:sz w:val="24"/>
          <w:szCs w:val="24"/>
        </w:rPr>
        <w:t>snaží</w:t>
      </w:r>
      <w:proofErr w:type="gramEnd"/>
      <w:r w:rsidRPr="00755BDA">
        <w:rPr>
          <w:rFonts w:ascii="Arial" w:eastAsia="Times New Roman" w:hAnsi="Arial" w:cs="Arial"/>
          <w:sz w:val="24"/>
          <w:szCs w:val="24"/>
        </w:rPr>
        <w:t xml:space="preserve"> vklady hromadně vybrat, mají motivaci si vklady vybrat také okamžitě, protože všichni chápou, že banka v daném okamžiku nemá dostatek peněz k tomu, uspokojit všechny klienty – dostane se jen na ty, kdo přijdou první. Dojde k útoku na banku.</w:t>
      </w:r>
    </w:p>
    <w:p w14:paraId="1F6A1289" w14:textId="77777777" w:rsidR="00755BDA" w:rsidRPr="00755BDA" w:rsidRDefault="00755BDA" w:rsidP="00755BDA">
      <w:pPr>
        <w:jc w:val="both"/>
        <w:rPr>
          <w:rFonts w:ascii="Arial" w:eastAsia="Times New Roman" w:hAnsi="Arial" w:cs="Arial"/>
          <w:sz w:val="24"/>
          <w:szCs w:val="24"/>
        </w:rPr>
      </w:pPr>
    </w:p>
    <w:p w14:paraId="4355E730" w14:textId="77777777"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 xml:space="preserve">Práce Bena </w:t>
      </w:r>
      <w:proofErr w:type="spellStart"/>
      <w:r w:rsidRPr="00755BDA">
        <w:rPr>
          <w:rFonts w:ascii="Arial" w:eastAsia="Times New Roman" w:hAnsi="Arial" w:cs="Arial"/>
          <w:sz w:val="24"/>
          <w:szCs w:val="24"/>
        </w:rPr>
        <w:t>Bernankeho</w:t>
      </w:r>
      <w:proofErr w:type="spellEnd"/>
      <w:r w:rsidRPr="00755BDA">
        <w:rPr>
          <w:rFonts w:ascii="Arial" w:eastAsia="Times New Roman" w:hAnsi="Arial" w:cs="Arial"/>
          <w:sz w:val="24"/>
          <w:szCs w:val="24"/>
        </w:rPr>
        <w:t xml:space="preserve"> přispěla k pochopení toho, jakým způsobem se podobné nestability finančního systému vyvolané pákovým efektem přelévají do celé ekonomiky na </w:t>
      </w:r>
      <w:proofErr w:type="spellStart"/>
      <w:r w:rsidRPr="00755BDA">
        <w:rPr>
          <w:rFonts w:ascii="Arial" w:eastAsia="Times New Roman" w:hAnsi="Arial" w:cs="Arial"/>
          <w:sz w:val="24"/>
          <w:szCs w:val="24"/>
        </w:rPr>
        <w:t>makroeokonomické</w:t>
      </w:r>
      <w:proofErr w:type="spellEnd"/>
      <w:r w:rsidRPr="00755BDA">
        <w:rPr>
          <w:rFonts w:ascii="Arial" w:eastAsia="Times New Roman" w:hAnsi="Arial" w:cs="Arial"/>
          <w:sz w:val="24"/>
          <w:szCs w:val="24"/>
        </w:rPr>
        <w:t xml:space="preserve"> úrovni. Pokud totiž banka v důsledku své vlastní nestability začne prodávat své investice, začnou klesat jejich tržní ceny, což </w:t>
      </w:r>
      <w:proofErr w:type="gramStart"/>
      <w:r w:rsidRPr="00755BDA">
        <w:rPr>
          <w:rFonts w:ascii="Arial" w:eastAsia="Times New Roman" w:hAnsi="Arial" w:cs="Arial"/>
          <w:sz w:val="24"/>
          <w:szCs w:val="24"/>
        </w:rPr>
        <w:t>sníží</w:t>
      </w:r>
      <w:proofErr w:type="gramEnd"/>
      <w:r w:rsidRPr="00755BDA">
        <w:rPr>
          <w:rFonts w:ascii="Arial" w:eastAsia="Times New Roman" w:hAnsi="Arial" w:cs="Arial"/>
          <w:sz w:val="24"/>
          <w:szCs w:val="24"/>
        </w:rPr>
        <w:t xml:space="preserve"> hodnotu investic v ostatních finančních institucích.</w:t>
      </w:r>
    </w:p>
    <w:p w14:paraId="5192F8F9" w14:textId="77777777" w:rsidR="00755BDA" w:rsidRPr="00755BDA" w:rsidRDefault="00755BDA" w:rsidP="00755BDA">
      <w:pPr>
        <w:jc w:val="both"/>
        <w:rPr>
          <w:rFonts w:ascii="Arial" w:eastAsia="Times New Roman" w:hAnsi="Arial" w:cs="Arial"/>
          <w:sz w:val="24"/>
          <w:szCs w:val="24"/>
        </w:rPr>
      </w:pPr>
    </w:p>
    <w:p w14:paraId="0E664ED0" w14:textId="77777777"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 xml:space="preserve">Přestože ostatní banky mohou vlastnit investice, které jsou dlouhodobě výnosné, pokles jejich aktuálních cen je donutí začít prodávat tyto investice také, aby snížily vlastní rizikové pozice. To vyvolá cenovou spirálu a může dojít k situaci, že v daném okamžiku bude tržní ocenění investic tak nízké, že vlastní kapitál bank klesne pod nulu a ty pak na sebe musí vyhlásit bankrot. Taková vlna bankrotů </w:t>
      </w:r>
      <w:proofErr w:type="gramStart"/>
      <w:r w:rsidRPr="00755BDA">
        <w:rPr>
          <w:rFonts w:ascii="Arial" w:eastAsia="Times New Roman" w:hAnsi="Arial" w:cs="Arial"/>
          <w:sz w:val="24"/>
          <w:szCs w:val="24"/>
        </w:rPr>
        <w:t>přeruší</w:t>
      </w:r>
      <w:proofErr w:type="gramEnd"/>
      <w:r w:rsidRPr="00755BDA">
        <w:rPr>
          <w:rFonts w:ascii="Arial" w:eastAsia="Times New Roman" w:hAnsi="Arial" w:cs="Arial"/>
          <w:sz w:val="24"/>
          <w:szCs w:val="24"/>
        </w:rPr>
        <w:t xml:space="preserve"> financování firem a finanční krize se přelije do krize ekonomické.</w:t>
      </w:r>
    </w:p>
    <w:p w14:paraId="05EA39B0" w14:textId="77777777" w:rsidR="00755BDA" w:rsidRPr="00755BDA" w:rsidRDefault="00755BDA" w:rsidP="00755BDA">
      <w:pPr>
        <w:jc w:val="both"/>
        <w:rPr>
          <w:rFonts w:ascii="Arial" w:eastAsia="Times New Roman" w:hAnsi="Arial" w:cs="Arial"/>
          <w:sz w:val="24"/>
          <w:szCs w:val="24"/>
        </w:rPr>
      </w:pPr>
    </w:p>
    <w:p w14:paraId="05B3CA4A" w14:textId="31F5BB8F"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Ekonomický výzkum, za který byla udělena letošní Nobelova cena, také dává návod k</w:t>
      </w:r>
      <w:r>
        <w:rPr>
          <w:rFonts w:ascii="Arial" w:eastAsia="Times New Roman" w:hAnsi="Arial" w:cs="Arial"/>
          <w:sz w:val="24"/>
          <w:szCs w:val="24"/>
        </w:rPr>
        <w:t> </w:t>
      </w:r>
      <w:r w:rsidRPr="00755BDA">
        <w:rPr>
          <w:rFonts w:ascii="Arial" w:eastAsia="Times New Roman" w:hAnsi="Arial" w:cs="Arial"/>
          <w:sz w:val="24"/>
          <w:szCs w:val="24"/>
        </w:rPr>
        <w:t xml:space="preserve">tomu, jak strukturovat regulaci finančního sektoru. </w:t>
      </w:r>
      <w:proofErr w:type="spellStart"/>
      <w:r w:rsidRPr="00755BDA">
        <w:rPr>
          <w:rFonts w:ascii="Arial" w:eastAsia="Times New Roman" w:hAnsi="Arial" w:cs="Arial"/>
          <w:sz w:val="24"/>
          <w:szCs w:val="24"/>
        </w:rPr>
        <w:t>Diamondův</w:t>
      </w:r>
      <w:proofErr w:type="spellEnd"/>
      <w:r w:rsidRPr="00755BDA">
        <w:rPr>
          <w:rFonts w:ascii="Arial" w:eastAsia="Times New Roman" w:hAnsi="Arial" w:cs="Arial"/>
          <w:sz w:val="24"/>
          <w:szCs w:val="24"/>
        </w:rPr>
        <w:t xml:space="preserve"> a </w:t>
      </w:r>
      <w:proofErr w:type="spellStart"/>
      <w:r w:rsidRPr="00755BDA">
        <w:rPr>
          <w:rFonts w:ascii="Arial" w:eastAsia="Times New Roman" w:hAnsi="Arial" w:cs="Arial"/>
          <w:sz w:val="24"/>
          <w:szCs w:val="24"/>
        </w:rPr>
        <w:t>Dybvigův</w:t>
      </w:r>
      <w:proofErr w:type="spellEnd"/>
      <w:r w:rsidRPr="00755BDA">
        <w:rPr>
          <w:rFonts w:ascii="Arial" w:eastAsia="Times New Roman" w:hAnsi="Arial" w:cs="Arial"/>
          <w:sz w:val="24"/>
          <w:szCs w:val="24"/>
        </w:rPr>
        <w:t xml:space="preserve"> článek volá po systému pojištění vkladů. Práce Bena </w:t>
      </w:r>
      <w:proofErr w:type="spellStart"/>
      <w:r w:rsidRPr="00755BDA">
        <w:rPr>
          <w:rFonts w:ascii="Arial" w:eastAsia="Times New Roman" w:hAnsi="Arial" w:cs="Arial"/>
          <w:sz w:val="24"/>
          <w:szCs w:val="24"/>
        </w:rPr>
        <w:t>Bernankeho</w:t>
      </w:r>
      <w:proofErr w:type="spellEnd"/>
      <w:r w:rsidRPr="00755BDA">
        <w:rPr>
          <w:rFonts w:ascii="Arial" w:eastAsia="Times New Roman" w:hAnsi="Arial" w:cs="Arial"/>
          <w:sz w:val="24"/>
          <w:szCs w:val="24"/>
        </w:rPr>
        <w:t xml:space="preserve"> dává vznik takzvané </w:t>
      </w:r>
      <w:proofErr w:type="spellStart"/>
      <w:r w:rsidRPr="00755BDA">
        <w:rPr>
          <w:rFonts w:ascii="Arial" w:eastAsia="Times New Roman" w:hAnsi="Arial" w:cs="Arial"/>
          <w:sz w:val="24"/>
          <w:szCs w:val="24"/>
        </w:rPr>
        <w:lastRenderedPageBreak/>
        <w:t>makroprudenční</w:t>
      </w:r>
      <w:proofErr w:type="spellEnd"/>
      <w:r w:rsidRPr="00755BDA">
        <w:rPr>
          <w:rFonts w:ascii="Arial" w:eastAsia="Times New Roman" w:hAnsi="Arial" w:cs="Arial"/>
          <w:sz w:val="24"/>
          <w:szCs w:val="24"/>
        </w:rPr>
        <w:t xml:space="preserve"> regulaci – banky by měly být dostatečně kapitalizované, aby byly schopny přestát i finanční krize vyvolané ostatními bankami.</w:t>
      </w:r>
    </w:p>
    <w:p w14:paraId="68E9815D" w14:textId="17552261" w:rsidR="00755BDA" w:rsidRPr="00755BDA" w:rsidRDefault="00755BDA" w:rsidP="00755BDA">
      <w:pPr>
        <w:jc w:val="both"/>
        <w:rPr>
          <w:rFonts w:ascii="Arial" w:eastAsia="Times New Roman" w:hAnsi="Arial" w:cs="Arial"/>
          <w:sz w:val="24"/>
          <w:szCs w:val="24"/>
        </w:rPr>
      </w:pPr>
      <w:r w:rsidRPr="00755BDA">
        <w:rPr>
          <w:rFonts w:ascii="Arial" w:eastAsia="Times New Roman" w:hAnsi="Arial" w:cs="Arial"/>
          <w:sz w:val="24"/>
          <w:szCs w:val="24"/>
        </w:rPr>
        <w:t>S nedostatkem a nedokonalostmi takové regulace mají zkušenosti jak vyspělé země v</w:t>
      </w:r>
      <w:r>
        <w:rPr>
          <w:rFonts w:ascii="Arial" w:eastAsia="Times New Roman" w:hAnsi="Arial" w:cs="Arial"/>
          <w:sz w:val="24"/>
          <w:szCs w:val="24"/>
        </w:rPr>
        <w:t> </w:t>
      </w:r>
      <w:r w:rsidRPr="00755BDA">
        <w:rPr>
          <w:rFonts w:ascii="Arial" w:eastAsia="Times New Roman" w:hAnsi="Arial" w:cs="Arial"/>
          <w:sz w:val="24"/>
          <w:szCs w:val="24"/>
        </w:rPr>
        <w:t>průběhu finančních krizí, naposledy třeba v letech 2007-2009, tak i Česká republika v 90. let 20. století. Pokud uvidíte fronty střadatelů před zavřenými dveřmi bankovních poboček nebo novinové články o výprodejích finančních aktiv finančními institucemi a</w:t>
      </w:r>
      <w:r>
        <w:rPr>
          <w:rFonts w:ascii="Arial" w:eastAsia="Times New Roman" w:hAnsi="Arial" w:cs="Arial"/>
          <w:sz w:val="24"/>
          <w:szCs w:val="24"/>
        </w:rPr>
        <w:t> </w:t>
      </w:r>
      <w:r w:rsidRPr="00755BDA">
        <w:rPr>
          <w:rFonts w:ascii="Arial" w:eastAsia="Times New Roman" w:hAnsi="Arial" w:cs="Arial"/>
          <w:sz w:val="24"/>
          <w:szCs w:val="24"/>
        </w:rPr>
        <w:t xml:space="preserve">snaze o jejich záchranu, aby se předešlo systémové krizi, vzpomeňte si na </w:t>
      </w:r>
      <w:proofErr w:type="spellStart"/>
      <w:r w:rsidRPr="00755BDA">
        <w:rPr>
          <w:rFonts w:ascii="Arial" w:eastAsia="Times New Roman" w:hAnsi="Arial" w:cs="Arial"/>
          <w:sz w:val="24"/>
          <w:szCs w:val="24"/>
        </w:rPr>
        <w:t>Bernankeho</w:t>
      </w:r>
      <w:proofErr w:type="spellEnd"/>
      <w:r w:rsidRPr="00755BDA">
        <w:rPr>
          <w:rFonts w:ascii="Arial" w:eastAsia="Times New Roman" w:hAnsi="Arial" w:cs="Arial"/>
          <w:sz w:val="24"/>
          <w:szCs w:val="24"/>
        </w:rPr>
        <w:t xml:space="preserve">, </w:t>
      </w:r>
      <w:proofErr w:type="spellStart"/>
      <w:r w:rsidRPr="00755BDA">
        <w:rPr>
          <w:rFonts w:ascii="Arial" w:eastAsia="Times New Roman" w:hAnsi="Arial" w:cs="Arial"/>
          <w:sz w:val="24"/>
          <w:szCs w:val="24"/>
        </w:rPr>
        <w:t>Diamonda</w:t>
      </w:r>
      <w:proofErr w:type="spellEnd"/>
      <w:r w:rsidRPr="00755BDA">
        <w:rPr>
          <w:rFonts w:ascii="Arial" w:eastAsia="Times New Roman" w:hAnsi="Arial" w:cs="Arial"/>
          <w:sz w:val="24"/>
          <w:szCs w:val="24"/>
        </w:rPr>
        <w:t xml:space="preserve"> a </w:t>
      </w:r>
      <w:proofErr w:type="spellStart"/>
      <w:r w:rsidRPr="00755BDA">
        <w:rPr>
          <w:rFonts w:ascii="Arial" w:eastAsia="Times New Roman" w:hAnsi="Arial" w:cs="Arial"/>
          <w:sz w:val="24"/>
          <w:szCs w:val="24"/>
        </w:rPr>
        <w:t>Dybviga</w:t>
      </w:r>
      <w:proofErr w:type="spellEnd"/>
      <w:r w:rsidRPr="00755BDA">
        <w:rPr>
          <w:rFonts w:ascii="Arial" w:eastAsia="Times New Roman" w:hAnsi="Arial" w:cs="Arial"/>
          <w:sz w:val="24"/>
          <w:szCs w:val="24"/>
        </w:rPr>
        <w:t>.</w:t>
      </w:r>
    </w:p>
    <w:p w14:paraId="6114CABD" w14:textId="77777777" w:rsidR="00755BDA" w:rsidRPr="00755BDA" w:rsidRDefault="00755BDA" w:rsidP="00755BDA">
      <w:pPr>
        <w:jc w:val="both"/>
        <w:rPr>
          <w:rFonts w:ascii="Arial" w:eastAsia="Times New Roman" w:hAnsi="Arial" w:cs="Arial"/>
          <w:sz w:val="24"/>
          <w:szCs w:val="24"/>
        </w:rPr>
      </w:pPr>
    </w:p>
    <w:p w14:paraId="75B29B75" w14:textId="77777777" w:rsidR="00755BDA" w:rsidRPr="00755BDA" w:rsidRDefault="00B06EC7" w:rsidP="00755BDA">
      <w:pPr>
        <w:jc w:val="both"/>
        <w:rPr>
          <w:rFonts w:ascii="Arial" w:eastAsia="Times New Roman" w:hAnsi="Arial" w:cs="Arial"/>
          <w:sz w:val="24"/>
          <w:szCs w:val="24"/>
        </w:rPr>
      </w:pPr>
      <w:hyperlink r:id="rId4" w:history="1">
        <w:r w:rsidR="00755BDA" w:rsidRPr="00755BDA">
          <w:rPr>
            <w:rStyle w:val="Hypertextovodkaz"/>
            <w:rFonts w:ascii="Arial" w:eastAsia="Times New Roman" w:hAnsi="Arial" w:cs="Arial"/>
            <w:sz w:val="24"/>
            <w:szCs w:val="24"/>
          </w:rPr>
          <w:t>https://www.nobelprize.org/prizes/economic-sciences/2022/summary/</w:t>
        </w:r>
      </w:hyperlink>
    </w:p>
    <w:p w14:paraId="0AD5452C" w14:textId="77777777" w:rsidR="009A0F88" w:rsidRPr="00755BDA" w:rsidRDefault="009A0F88" w:rsidP="00755BDA">
      <w:pPr>
        <w:jc w:val="both"/>
        <w:rPr>
          <w:rFonts w:ascii="Arial" w:hAnsi="Arial" w:cs="Arial"/>
          <w:sz w:val="24"/>
          <w:szCs w:val="24"/>
        </w:rPr>
      </w:pPr>
    </w:p>
    <w:sectPr w:rsidR="009A0F88" w:rsidRPr="00755B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BDA"/>
    <w:rsid w:val="00670C78"/>
    <w:rsid w:val="00755BDA"/>
    <w:rsid w:val="009A0F88"/>
    <w:rsid w:val="00B06EC7"/>
    <w:rsid w:val="00E12C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E875"/>
  <w15:chartTrackingRefBased/>
  <w15:docId w15:val="{B465B7D9-83D5-42A5-9AA0-691D34C1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55BDA"/>
    <w:pPr>
      <w:spacing w:after="0" w:line="240" w:lineRule="auto"/>
    </w:pPr>
    <w:rPr>
      <w:rFonts w:ascii="Calibri" w:hAnsi="Calibri" w:cs="Calibri"/>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55B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obelprize.org/prizes/economic-sciences/2022/summar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543</Words>
  <Characters>3205</Characters>
  <Application>Microsoft Office Word</Application>
  <DocSecurity>4</DocSecurity>
  <Lines>26</Lines>
  <Paragraphs>7</Paragraphs>
  <ScaleCrop>false</ScaleCrop>
  <Company/>
  <LinksUpToDate>false</LinksUpToDate>
  <CharactersWithSpaces>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Cmarková Jana</dc:creator>
  <cp:keywords/>
  <dc:description/>
  <cp:lastModifiedBy>Cmarková Jana</cp:lastModifiedBy>
  <cp:revision>2</cp:revision>
  <dcterms:created xsi:type="dcterms:W3CDTF">2022-10-14T06:17:00Z</dcterms:created>
  <dcterms:modified xsi:type="dcterms:W3CDTF">2022-10-14T06:17:00Z</dcterms:modified>
</cp:coreProperties>
</file>