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2725" w14:textId="2DE2A8AD" w:rsidR="00B94938" w:rsidRPr="00CB655D" w:rsidRDefault="007A304C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  <w:r w:rsidRPr="00CB655D">
        <w:rPr>
          <w:rFonts w:cs="Arial"/>
          <w:iCs/>
          <w:szCs w:val="20"/>
          <w:lang w:val="cs-CZ"/>
        </w:rPr>
        <w:br/>
      </w:r>
    </w:p>
    <w:p w14:paraId="32A40FBF" w14:textId="5AFCF00C" w:rsidR="007D2D4A" w:rsidRPr="00CB655D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3491D826" w14:textId="5A1DF0D6" w:rsidR="007D2D4A" w:rsidRPr="00CB655D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49AD2313" w14:textId="122767DF" w:rsidR="007D2D4A" w:rsidRPr="00CB655D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0CC892EF" w14:textId="05B981CA" w:rsidR="007D2D4A" w:rsidRPr="00CB655D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38B4E73E" w14:textId="77777777" w:rsidR="007D2D4A" w:rsidRPr="00CB655D" w:rsidRDefault="007D2D4A" w:rsidP="007D2D4A">
      <w:pPr>
        <w:pStyle w:val="Standard"/>
        <w:widowControl w:val="0"/>
        <w:suppressAutoHyphens w:val="0"/>
        <w:spacing w:before="120" w:after="120"/>
        <w:jc w:val="center"/>
        <w:rPr>
          <w:rFonts w:cs="Arial"/>
          <w:iCs/>
          <w:szCs w:val="20"/>
          <w:lang w:val="cs-CZ"/>
        </w:rPr>
      </w:pPr>
    </w:p>
    <w:p w14:paraId="2CF38A25" w14:textId="7EA6E9FD" w:rsidR="00B11191" w:rsidRPr="00CB655D" w:rsidRDefault="00B11191" w:rsidP="00B11191">
      <w:pPr>
        <w:pStyle w:val="Standard"/>
        <w:widowControl w:val="0"/>
        <w:spacing w:before="120" w:after="120" w:line="276" w:lineRule="auto"/>
        <w:jc w:val="center"/>
        <w:rPr>
          <w:rFonts w:cs="Arial"/>
          <w:b/>
          <w:bCs/>
          <w:iCs/>
          <w:color w:val="002060"/>
          <w:kern w:val="56"/>
          <w:sz w:val="36"/>
          <w:szCs w:val="36"/>
          <w:lang w:val="cs-CZ"/>
        </w:rPr>
      </w:pPr>
      <w:bookmarkStart w:id="0" w:name="_Hlk152148949"/>
      <w:r w:rsidRPr="00CB655D">
        <w:rPr>
          <w:rFonts w:cs="Arial"/>
          <w:b/>
          <w:bCs/>
          <w:iCs/>
          <w:color w:val="002060"/>
          <w:kern w:val="56"/>
          <w:sz w:val="36"/>
          <w:szCs w:val="36"/>
          <w:lang w:val="cs-CZ"/>
        </w:rPr>
        <w:t>Průchod potravy trávicím traktem lze sledovat bez ionizujícího záření. Pomůže nový polymer</w:t>
      </w:r>
    </w:p>
    <w:bookmarkEnd w:id="0"/>
    <w:p w14:paraId="64A67EDF" w14:textId="7618A833" w:rsidR="00E50E59" w:rsidRPr="00CB655D" w:rsidRDefault="00E50E59" w:rsidP="00E50E59">
      <w:pPr>
        <w:pStyle w:val="Standard"/>
        <w:widowControl w:val="0"/>
        <w:spacing w:before="120" w:after="120" w:line="276" w:lineRule="auto"/>
        <w:jc w:val="center"/>
        <w:rPr>
          <w:rFonts w:cs="Arial"/>
          <w:b/>
          <w:bCs/>
          <w:iCs/>
          <w:color w:val="002060"/>
          <w:kern w:val="56"/>
          <w:sz w:val="36"/>
          <w:szCs w:val="36"/>
          <w:lang w:val="cs-CZ"/>
        </w:rPr>
      </w:pPr>
    </w:p>
    <w:p w14:paraId="51F7A3A3" w14:textId="243A9C2B" w:rsidR="00E50E59" w:rsidRPr="00CB655D" w:rsidRDefault="00B11191" w:rsidP="007B3C52">
      <w:pPr>
        <w:pStyle w:val="Standard"/>
        <w:widowControl w:val="0"/>
        <w:spacing w:before="120" w:after="120" w:line="276" w:lineRule="auto"/>
        <w:rPr>
          <w:rFonts w:cs="Arial"/>
          <w:b/>
          <w:bCs/>
          <w:iCs/>
          <w:color w:val="002060"/>
          <w:kern w:val="56"/>
          <w:sz w:val="36"/>
          <w:szCs w:val="36"/>
          <w:lang w:val="cs-CZ"/>
        </w:rPr>
      </w:pPr>
      <w:r w:rsidRPr="00CB655D">
        <w:rPr>
          <w:rFonts w:cs="Arial"/>
          <w:bCs/>
          <w:iCs/>
          <w:szCs w:val="20"/>
          <w:lang w:val="cs-CZ"/>
        </w:rPr>
        <w:t>2</w:t>
      </w:r>
      <w:r w:rsidR="005615B5">
        <w:rPr>
          <w:rFonts w:cs="Arial"/>
          <w:bCs/>
          <w:iCs/>
          <w:szCs w:val="20"/>
          <w:lang w:val="cs-CZ"/>
        </w:rPr>
        <w:t>3</w:t>
      </w:r>
      <w:r w:rsidR="0073551E" w:rsidRPr="00CB655D">
        <w:rPr>
          <w:rFonts w:cs="Arial"/>
          <w:bCs/>
          <w:iCs/>
          <w:szCs w:val="20"/>
          <w:lang w:val="cs-CZ"/>
        </w:rPr>
        <w:t>. 9. 2026</w:t>
      </w:r>
      <w:bookmarkStart w:id="1" w:name="_Hlk152149017"/>
    </w:p>
    <w:p w14:paraId="2879BE42" w14:textId="765D5007" w:rsidR="00B11191" w:rsidRPr="00CB655D" w:rsidRDefault="00B11191" w:rsidP="00A44EA5">
      <w:pPr>
        <w:spacing w:before="240"/>
        <w:rPr>
          <w:lang w:val="cs-CZ"/>
        </w:rPr>
      </w:pPr>
      <w:bookmarkStart w:id="2" w:name="_Hlk152063791"/>
      <w:bookmarkEnd w:id="1"/>
      <w:r w:rsidRPr="00CB655D">
        <w:rPr>
          <w:b/>
          <w:bCs/>
          <w:lang w:val="cs-CZ"/>
        </w:rPr>
        <w:t xml:space="preserve">Vědci vyvinuli novou látku na bázi fluoru, která umožňuje pomocí magnetické rezonance (MRI) sledovat, jak rychle potrava prochází trávicím traktem. Novou metodu zatím v rámci preklinického výzkumu úspěšně vyzkoušeli na potkanech, v budoucnu by ale mohla pomoci při diagnostice poruch trávení nebo sledování účinku léčby. Výsledky studie publikoval časopis </w:t>
      </w:r>
      <w:proofErr w:type="spellStart"/>
      <w:r w:rsidRPr="00CB655D">
        <w:rPr>
          <w:b/>
          <w:bCs/>
          <w:i/>
          <w:iCs/>
          <w:lang w:val="cs-CZ"/>
        </w:rPr>
        <w:t>Advanced</w:t>
      </w:r>
      <w:proofErr w:type="spellEnd"/>
      <w:r w:rsidRPr="00CB655D">
        <w:rPr>
          <w:b/>
          <w:bCs/>
          <w:i/>
          <w:iCs/>
          <w:lang w:val="cs-CZ"/>
        </w:rPr>
        <w:t xml:space="preserve"> </w:t>
      </w:r>
      <w:proofErr w:type="spellStart"/>
      <w:r w:rsidRPr="00CB655D">
        <w:rPr>
          <w:b/>
          <w:bCs/>
          <w:i/>
          <w:iCs/>
          <w:lang w:val="cs-CZ"/>
        </w:rPr>
        <w:t>Healthcare</w:t>
      </w:r>
      <w:proofErr w:type="spellEnd"/>
      <w:r w:rsidRPr="00CB655D">
        <w:rPr>
          <w:b/>
          <w:bCs/>
          <w:i/>
          <w:iCs/>
          <w:lang w:val="cs-CZ"/>
        </w:rPr>
        <w:t xml:space="preserve"> </w:t>
      </w:r>
      <w:proofErr w:type="spellStart"/>
      <w:r w:rsidRPr="00CB655D">
        <w:rPr>
          <w:b/>
          <w:bCs/>
          <w:i/>
          <w:iCs/>
          <w:lang w:val="cs-CZ"/>
        </w:rPr>
        <w:t>Materials</w:t>
      </w:r>
      <w:proofErr w:type="spellEnd"/>
      <w:r w:rsidRPr="00CB655D">
        <w:rPr>
          <w:b/>
          <w:bCs/>
          <w:lang w:val="cs-CZ"/>
        </w:rPr>
        <w:t>.</w:t>
      </w:r>
    </w:p>
    <w:p w14:paraId="7921B2C9" w14:textId="77777777" w:rsidR="00CD69CC" w:rsidRDefault="00B11191" w:rsidP="00A44EA5">
      <w:pPr>
        <w:spacing w:before="240"/>
      </w:pPr>
      <w:r w:rsidRPr="00CB655D">
        <w:rPr>
          <w:lang w:val="cs-CZ"/>
        </w:rPr>
        <w:t xml:space="preserve">Rychlost, s jakou se potrava pohybuje žaludkem a střevy, poskytuje lékařům důležité informace o fungování trávicího systému. Při vyšetřování průchodu potravy se dnes běžně používají metody </w:t>
      </w:r>
      <w:r w:rsidR="00DF644C" w:rsidRPr="00CB655D">
        <w:rPr>
          <w:lang w:val="cs-CZ"/>
        </w:rPr>
        <w:t>založené na</w:t>
      </w:r>
      <w:r w:rsidRPr="00CB655D">
        <w:rPr>
          <w:lang w:val="cs-CZ"/>
        </w:rPr>
        <w:t xml:space="preserve"> ionizující</w:t>
      </w:r>
      <w:r w:rsidR="00DF644C" w:rsidRPr="00CB655D">
        <w:rPr>
          <w:lang w:val="cs-CZ"/>
        </w:rPr>
        <w:t>m</w:t>
      </w:r>
      <w:r w:rsidRPr="00CB655D">
        <w:rPr>
          <w:lang w:val="cs-CZ"/>
        </w:rPr>
        <w:t xml:space="preserve"> záření</w:t>
      </w:r>
      <w:r w:rsidR="0078119E" w:rsidRPr="00CB655D">
        <w:rPr>
          <w:lang w:val="cs-CZ"/>
        </w:rPr>
        <w:t xml:space="preserve"> (radiaci)</w:t>
      </w:r>
      <w:r w:rsidRPr="00CB655D">
        <w:rPr>
          <w:lang w:val="cs-CZ"/>
        </w:rPr>
        <w:t xml:space="preserve">, například kontrastní rentgenová vyšetření nebo scintigrafie. </w:t>
      </w:r>
      <w:r w:rsidR="00CD69CC" w:rsidRPr="00CD69CC">
        <w:rPr>
          <w:lang w:val="cs-CZ"/>
        </w:rPr>
        <w:t>Kvůli související radiační zátěži se však tato vyšetření nehodí k častému opakování a jejich využití je omezené také u některých skupin pacientů, například u těhotných žen a dětí.</w:t>
      </w:r>
    </w:p>
    <w:p w14:paraId="3411649C" w14:textId="6ED193D8" w:rsidR="00CB655D" w:rsidRPr="00CB655D" w:rsidRDefault="00B11191" w:rsidP="00A44EA5">
      <w:pPr>
        <w:spacing w:before="240"/>
        <w:rPr>
          <w:lang w:val="cs-CZ"/>
        </w:rPr>
      </w:pPr>
      <w:r w:rsidRPr="00CB655D">
        <w:rPr>
          <w:lang w:val="cs-CZ"/>
        </w:rPr>
        <w:t xml:space="preserve">Tým vědců z Ústavu organické chemie a biochemie AV ČR (ÚOCHB), 1. lékařské fakulty Univerzity Karlovy a Univerzity v </w:t>
      </w:r>
      <w:proofErr w:type="spellStart"/>
      <w:r w:rsidRPr="00CB655D">
        <w:rPr>
          <w:lang w:val="cs-CZ"/>
        </w:rPr>
        <w:t>Gentu</w:t>
      </w:r>
      <w:proofErr w:type="spellEnd"/>
      <w:r w:rsidRPr="00CB655D">
        <w:rPr>
          <w:lang w:val="cs-CZ"/>
        </w:rPr>
        <w:t xml:space="preserve"> (Belgie) vyvinul nový způsob, jak průchod tráveniny sledovat pomocí MRI, která ionizující záření nevyužívá. </w:t>
      </w:r>
    </w:p>
    <w:p w14:paraId="6BAA7575" w14:textId="50AA65D4" w:rsidR="00B11191" w:rsidRPr="00CB655D" w:rsidRDefault="00B11191" w:rsidP="00A44EA5">
      <w:pPr>
        <w:spacing w:before="240"/>
        <w:rPr>
          <w:lang w:val="cs-CZ"/>
        </w:rPr>
      </w:pPr>
      <w:r w:rsidRPr="00CB655D">
        <w:rPr>
          <w:lang w:val="cs-CZ"/>
        </w:rPr>
        <w:t>Jeho základem jsou ve vodě rozpustné fluorované polymery, které zůstávají v trávicím traktu a jejichž signál lze zachytit pomocí fluorové magnetické rezonance (¹⁹F MRI).</w:t>
      </w:r>
    </w:p>
    <w:p w14:paraId="26DA76C8" w14:textId="75DE90D8" w:rsidR="00B11191" w:rsidRPr="00CB655D" w:rsidRDefault="00B11191" w:rsidP="00A44EA5">
      <w:pPr>
        <w:spacing w:before="240"/>
        <w:rPr>
          <w:lang w:val="cs-CZ"/>
        </w:rPr>
      </w:pPr>
      <w:r w:rsidRPr="00CB655D">
        <w:rPr>
          <w:i/>
          <w:iCs/>
          <w:lang w:val="cs-CZ"/>
        </w:rPr>
        <w:t>„Výhodou fluoru je, že se v lidském těle přirozeně vyskytuje jen v zanedbatelném množství. Když tedy sledujeme fluorový signál, prakticky nemáme žádné rušivé pozadí. Vidíme pouze naši látku a můžeme určit, kde v trávicím traktu se právě nachází,“</w:t>
      </w:r>
      <w:r w:rsidRPr="00CB655D">
        <w:rPr>
          <w:lang w:val="cs-CZ"/>
        </w:rPr>
        <w:t xml:space="preserve"> vysvětluje princip metody první autor studie, Ondřej </w:t>
      </w:r>
      <w:proofErr w:type="spellStart"/>
      <w:r w:rsidRPr="00CB655D">
        <w:rPr>
          <w:lang w:val="cs-CZ"/>
        </w:rPr>
        <w:t>Groborz</w:t>
      </w:r>
      <w:proofErr w:type="spellEnd"/>
      <w:r w:rsidRPr="00CB655D">
        <w:rPr>
          <w:lang w:val="cs-CZ"/>
        </w:rPr>
        <w:t xml:space="preserve"> z ÚOCHB.</w:t>
      </w:r>
    </w:p>
    <w:p w14:paraId="260B8DF5" w14:textId="77777777" w:rsidR="00B11191" w:rsidRPr="00CB655D" w:rsidRDefault="00B11191" w:rsidP="00A44EA5">
      <w:pPr>
        <w:spacing w:before="240"/>
        <w:rPr>
          <w:lang w:val="cs-CZ"/>
        </w:rPr>
      </w:pPr>
      <w:r w:rsidRPr="00CB655D">
        <w:rPr>
          <w:b/>
          <w:bCs/>
          <w:lang w:val="cs-CZ"/>
        </w:rPr>
        <w:t>Méně fluoru, vhodnější vlastnosti </w:t>
      </w:r>
    </w:p>
    <w:p w14:paraId="2451A56E" w14:textId="77777777" w:rsidR="00B11191" w:rsidRPr="00CB655D" w:rsidRDefault="00B11191" w:rsidP="00A44EA5">
      <w:pPr>
        <w:spacing w:before="240"/>
        <w:rPr>
          <w:lang w:val="cs-CZ"/>
        </w:rPr>
      </w:pPr>
      <w:r w:rsidRPr="00CB655D">
        <w:rPr>
          <w:lang w:val="cs-CZ"/>
        </w:rPr>
        <w:t>Nová metoda kombinuje běžnou MRI, která zobrazuje anatomii trávicí trubice, s ¹⁹F MRI, jejíž zobrazení ukáže samotný polymer. Překrytím obou obrazů lze určit přesnou polohu polymeru a porovnáním snímků pořízených v různých časových intervalech lze pozorovat posun tráveniny v čase.</w:t>
      </w:r>
    </w:p>
    <w:p w14:paraId="6B4433FE" w14:textId="7D457548" w:rsidR="00B11191" w:rsidRPr="00CB655D" w:rsidRDefault="00B11191" w:rsidP="00A44EA5">
      <w:pPr>
        <w:spacing w:before="240" w:after="240"/>
        <w:rPr>
          <w:lang w:val="cs-CZ"/>
        </w:rPr>
      </w:pPr>
      <w:r w:rsidRPr="00CB655D">
        <w:rPr>
          <w:lang w:val="cs-CZ"/>
        </w:rPr>
        <w:t>Fluorované látky už byly pro zobrazování trávicího traktu zkoumány dříve. Řada z nich se ale s tráveninou špatně mísí, protože odpuzují vodu. Vznikají tak vrstvy, které mohou výsledný obraz zkreslovat. Nově vyvinuté polymery jsou naopak ve vodě rozpustné a zůstávají s tráveninou rovnoměrně promíchané</w:t>
      </w:r>
      <w:r w:rsidR="0078119E" w:rsidRPr="00CB655D">
        <w:rPr>
          <w:lang w:val="cs-CZ"/>
        </w:rPr>
        <w:t xml:space="preserve">, takže </w:t>
      </w:r>
      <w:r w:rsidR="00CB655D" w:rsidRPr="00CB655D">
        <w:rPr>
          <w:lang w:val="cs-CZ"/>
        </w:rPr>
        <w:t xml:space="preserve">můžeme sledovat její pohyb trávicím ústrojím. </w:t>
      </w:r>
    </w:p>
    <w:p w14:paraId="328B789B" w14:textId="77777777" w:rsidR="00B11191" w:rsidRPr="00CB655D" w:rsidRDefault="00B11191" w:rsidP="00A44EA5">
      <w:pPr>
        <w:spacing w:after="240"/>
        <w:rPr>
          <w:lang w:val="cs-CZ"/>
        </w:rPr>
      </w:pPr>
      <w:r w:rsidRPr="00CB655D">
        <w:rPr>
          <w:lang w:val="cs-CZ"/>
        </w:rPr>
        <w:t xml:space="preserve">Polymerní chemička Kristýna Kolouchová, která působí na Univerzitě v </w:t>
      </w:r>
      <w:proofErr w:type="spellStart"/>
      <w:r w:rsidRPr="00CB655D">
        <w:rPr>
          <w:lang w:val="cs-CZ"/>
        </w:rPr>
        <w:t>Gentu</w:t>
      </w:r>
      <w:proofErr w:type="spellEnd"/>
      <w:r w:rsidRPr="00CB655D">
        <w:rPr>
          <w:lang w:val="cs-CZ"/>
        </w:rPr>
        <w:t xml:space="preserve">, vysvětluje, že vyvinout takovou látku nebylo jednoduché. </w:t>
      </w:r>
      <w:r w:rsidRPr="00CB655D">
        <w:rPr>
          <w:i/>
          <w:iCs/>
          <w:lang w:val="cs-CZ"/>
        </w:rPr>
        <w:t xml:space="preserve">„Pro ¹⁹F MRI je výhodné mít v látce co nejvíce fluoru, ale ukázalo </w:t>
      </w:r>
      <w:r w:rsidRPr="00CB655D">
        <w:rPr>
          <w:i/>
          <w:iCs/>
          <w:lang w:val="cs-CZ"/>
        </w:rPr>
        <w:lastRenderedPageBreak/>
        <w:t>se, že více neznamená vždy lépe. Při příliš vysokém obsahu fluoru se zhoršovaly vlastnosti látky. Nakonec jsme našli správný poměr, při kterém zůstala dobře rozpustná a zároveň poskytovala stabilní signál.“</w:t>
      </w:r>
    </w:p>
    <w:p w14:paraId="00FA0296" w14:textId="77777777" w:rsidR="00B11191" w:rsidRPr="00CB655D" w:rsidRDefault="00B11191" w:rsidP="00A44EA5">
      <w:pPr>
        <w:spacing w:before="240"/>
        <w:rPr>
          <w:lang w:val="cs-CZ"/>
        </w:rPr>
      </w:pPr>
      <w:r w:rsidRPr="00CB655D">
        <w:rPr>
          <w:b/>
          <w:bCs/>
          <w:lang w:val="cs-CZ"/>
        </w:rPr>
        <w:t>Další generace polymeru míří k patentu </w:t>
      </w:r>
    </w:p>
    <w:p w14:paraId="1241D756" w14:textId="77777777" w:rsidR="00B11191" w:rsidRPr="00CB655D" w:rsidRDefault="00B11191" w:rsidP="00A44EA5">
      <w:pPr>
        <w:spacing w:before="240"/>
        <w:rPr>
          <w:lang w:val="cs-CZ"/>
        </w:rPr>
      </w:pPr>
      <w:r w:rsidRPr="00CB655D">
        <w:rPr>
          <w:lang w:val="cs-CZ"/>
        </w:rPr>
        <w:t>Funkčnost metody vědci ověřili na potkanech. Polymer jim podali do žaludku a pomocí magnetické rezonance sledovali jeho cestu trávicím traktem až po vyloučení. Vědci zároveň nezaznamenali známky vstřebávání polymeru do organismu ani poškození sledovaných tkání.</w:t>
      </w:r>
    </w:p>
    <w:p w14:paraId="64FE8006" w14:textId="4880B56A" w:rsidR="00722812" w:rsidRPr="00CB655D" w:rsidRDefault="00B11191" w:rsidP="00A44EA5">
      <w:pPr>
        <w:spacing w:before="240"/>
        <w:rPr>
          <w:lang w:val="cs-CZ"/>
        </w:rPr>
      </w:pPr>
      <w:r w:rsidRPr="00CB655D">
        <w:rPr>
          <w:lang w:val="cs-CZ"/>
        </w:rPr>
        <w:t>Výzkum je zatím v preklinické fázi a představuje první ověření principu na zvířecím modelu. Před případným využitím v medicíně proto bude nutné ověřit bezpečnost a spolehlivost metody u lidí, což může trvat několik let. Vědci už ale pracují na další generaci polymeru, kterou chtějí patentovat a dále rozvíjet směrem k praktickému využití. O technologii už zároveň projevily zájem firmy.</w:t>
      </w:r>
    </w:p>
    <w:p w14:paraId="37F6AAD3" w14:textId="0CBC8777" w:rsidR="008D1D7E" w:rsidRPr="00CB655D" w:rsidRDefault="00E50E59" w:rsidP="00A44EA5">
      <w:pPr>
        <w:pStyle w:val="Standard"/>
        <w:widowControl w:val="0"/>
        <w:spacing w:before="240" w:after="120" w:line="276" w:lineRule="auto"/>
        <w:rPr>
          <w:rFonts w:cs="Arial"/>
          <w:i/>
          <w:iCs/>
          <w:color w:val="000000" w:themeColor="text1"/>
          <w:szCs w:val="20"/>
          <w:lang w:val="cs-CZ"/>
        </w:rPr>
      </w:pPr>
      <w:r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Původní článek: </w:t>
      </w:r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O.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Groborz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, V. Herynek, M.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Hovořáková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, et al. “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Hydrophilic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Polymers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Enable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Gastrointestinal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Transit Monitoring by Fluorine-19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Magnetic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Resonance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Imaging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.”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Advanced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Healthcare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</w:t>
      </w:r>
      <w:proofErr w:type="spellStart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>Materials</w:t>
      </w:r>
      <w:proofErr w:type="spellEnd"/>
      <w:r w:rsidR="004000BA" w:rsidRPr="00CB655D">
        <w:rPr>
          <w:rFonts w:cs="Arial"/>
          <w:i/>
          <w:iCs/>
          <w:color w:val="000000" w:themeColor="text1"/>
          <w:szCs w:val="20"/>
          <w:lang w:val="cs-CZ"/>
        </w:rPr>
        <w:t xml:space="preserve"> (2026): e71667. </w:t>
      </w:r>
      <w:hyperlink r:id="rId7" w:history="1">
        <w:r w:rsidR="004000BA" w:rsidRPr="00CB655D">
          <w:rPr>
            <w:rStyle w:val="Hyperlink"/>
            <w:rFonts w:cs="Arial"/>
            <w:i/>
            <w:iCs/>
            <w:color w:val="000000" w:themeColor="text1"/>
            <w:szCs w:val="20"/>
            <w:lang w:val="cs-CZ"/>
          </w:rPr>
          <w:t>https://doi.org/10.1002/adhm.71667</w:t>
        </w:r>
      </w:hyperlink>
      <w:bookmarkEnd w:id="2"/>
    </w:p>
    <w:p w14:paraId="124509C3" w14:textId="77777777" w:rsidR="00A44EA5" w:rsidRPr="00CB655D" w:rsidRDefault="00A44EA5" w:rsidP="00A44EA5">
      <w:pPr>
        <w:pStyle w:val="Standard"/>
        <w:widowControl w:val="0"/>
        <w:spacing w:before="240" w:after="120" w:line="276" w:lineRule="auto"/>
        <w:rPr>
          <w:rFonts w:cs="Arial"/>
          <w:color w:val="000000" w:themeColor="text1"/>
          <w:szCs w:val="20"/>
          <w:lang w:val="cs-CZ"/>
        </w:rPr>
      </w:pPr>
    </w:p>
    <w:p w14:paraId="60E01AB3" w14:textId="5803551E" w:rsidR="00B11191" w:rsidRPr="00CB655D" w:rsidRDefault="00B11191" w:rsidP="008D1D7E">
      <w:pPr>
        <w:widowControl w:val="0"/>
        <w:pBdr>
          <w:top w:val="single" w:sz="4" w:space="1" w:color="auto"/>
          <w:bottom w:val="single" w:sz="4" w:space="1" w:color="auto"/>
        </w:pBdr>
        <w:suppressAutoHyphens/>
        <w:spacing w:before="120" w:after="120"/>
        <w:rPr>
          <w:rFonts w:cs="Arial"/>
          <w:b/>
          <w:szCs w:val="20"/>
          <w:lang w:val="cs-CZ"/>
        </w:rPr>
      </w:pPr>
      <w:r w:rsidRPr="00CB655D">
        <w:rPr>
          <w:rFonts w:cs="Arial"/>
          <w:b/>
          <w:bCs/>
          <w:szCs w:val="20"/>
          <w:lang w:val="cs-CZ"/>
        </w:rPr>
        <w:t xml:space="preserve">MUDr. RNDr. Ondřej </w:t>
      </w:r>
      <w:proofErr w:type="spellStart"/>
      <w:r w:rsidRPr="00CB655D">
        <w:rPr>
          <w:rFonts w:cs="Arial"/>
          <w:b/>
          <w:bCs/>
          <w:szCs w:val="20"/>
          <w:lang w:val="cs-CZ"/>
        </w:rPr>
        <w:t>Groborz</w:t>
      </w:r>
      <w:proofErr w:type="spellEnd"/>
      <w:r w:rsidRPr="00CB655D">
        <w:rPr>
          <w:rFonts w:cs="Arial"/>
          <w:b/>
          <w:bCs/>
          <w:szCs w:val="20"/>
          <w:lang w:val="cs-CZ"/>
        </w:rPr>
        <w:t>, Ph.D.</w:t>
      </w:r>
      <w:r w:rsidRPr="00CB655D">
        <w:rPr>
          <w:rFonts w:cs="Arial"/>
          <w:b/>
          <w:szCs w:val="20"/>
          <w:lang w:val="cs-CZ"/>
        </w:rPr>
        <w:t xml:space="preserve"> </w:t>
      </w:r>
      <w:r w:rsidRPr="00CB655D">
        <w:rPr>
          <w:rFonts w:cs="Arial"/>
          <w:bCs/>
          <w:szCs w:val="20"/>
          <w:lang w:val="cs-CZ"/>
        </w:rPr>
        <w:t xml:space="preserve">je medicinální chemik, lékař a biofyzik. K vědě se dostal už na </w:t>
      </w:r>
      <w:r w:rsidR="00576DC5">
        <w:rPr>
          <w:rFonts w:cs="Arial"/>
          <w:bCs/>
          <w:szCs w:val="20"/>
          <w:lang w:val="cs-CZ"/>
        </w:rPr>
        <w:t>základní</w:t>
      </w:r>
      <w:r w:rsidRPr="00CB655D">
        <w:rPr>
          <w:rFonts w:cs="Arial"/>
          <w:bCs/>
          <w:szCs w:val="20"/>
          <w:lang w:val="cs-CZ"/>
        </w:rPr>
        <w:t xml:space="preserve"> škole – absolvoval tehdy první výzkumné stáže a v roce 2015 získal ocenění Česká hlavička. Vystudoval medicinální chemii na Přírodovědecké fakultě UK a všeobecné lékařství na 1. lékařské fakultě UK, kde také získal doktorát z lékařské biofyziky. Věnuje se vývoji nových léčiv, zobrazovacích metod a </w:t>
      </w:r>
      <w:proofErr w:type="spellStart"/>
      <w:r w:rsidRPr="00CB655D">
        <w:rPr>
          <w:rFonts w:cs="Arial"/>
          <w:bCs/>
          <w:szCs w:val="20"/>
          <w:lang w:val="cs-CZ"/>
        </w:rPr>
        <w:t>biomateriálů</w:t>
      </w:r>
      <w:proofErr w:type="spellEnd"/>
      <w:r w:rsidRPr="00CB655D">
        <w:rPr>
          <w:rFonts w:cs="Arial"/>
          <w:bCs/>
          <w:szCs w:val="20"/>
          <w:lang w:val="cs-CZ"/>
        </w:rPr>
        <w:t xml:space="preserve"> – působí v Ústavu organické chemie a biochemie AV ČR a na Ústavu biofyziky a informatiky 1. LF UK, kde také vyučuje. Publikoval tři desítky odborných článků a za svou práci získal mimo jiné Cenu Josefa Hlávky a Cenu Sanofi.</w:t>
      </w:r>
    </w:p>
    <w:p w14:paraId="478B5051" w14:textId="279D8410" w:rsidR="008D1D7E" w:rsidRPr="00CB655D" w:rsidRDefault="008D1D7E" w:rsidP="008D1D7E">
      <w:pPr>
        <w:widowControl w:val="0"/>
        <w:pBdr>
          <w:top w:val="single" w:sz="4" w:space="1" w:color="auto"/>
          <w:bottom w:val="single" w:sz="4" w:space="1" w:color="auto"/>
        </w:pBdr>
        <w:suppressAutoHyphens/>
        <w:spacing w:before="120" w:after="120"/>
        <w:rPr>
          <w:rFonts w:cs="Arial"/>
          <w:szCs w:val="20"/>
          <w:lang w:val="cs-CZ"/>
        </w:rPr>
      </w:pPr>
      <w:r w:rsidRPr="00CB655D">
        <w:rPr>
          <w:rFonts w:cs="Arial"/>
          <w:b/>
          <w:szCs w:val="20"/>
          <w:lang w:val="cs-CZ"/>
        </w:rPr>
        <w:t>Ústav organické chemie a biochemie AV ČR / ÚOCHB</w:t>
      </w:r>
      <w:r w:rsidRPr="00CB655D">
        <w:rPr>
          <w:rFonts w:cs="Arial"/>
          <w:szCs w:val="20"/>
          <w:lang w:val="cs-CZ"/>
        </w:rPr>
        <w:t xml:space="preserve"> (</w:t>
      </w:r>
      <w:hyperlink r:id="rId8" w:history="1">
        <w:r w:rsidRPr="00CB655D">
          <w:rPr>
            <w:rStyle w:val="Hyperlink"/>
            <w:rFonts w:eastAsia="SimSun" w:cs="Arial"/>
            <w:b/>
            <w:iCs/>
            <w:color w:val="00205B"/>
            <w:kern w:val="3"/>
            <w:szCs w:val="20"/>
            <w:u w:val="none"/>
            <w:lang w:val="cs-CZ"/>
          </w:rPr>
          <w:t>www.uochb.cz</w:t>
        </w:r>
      </w:hyperlink>
      <w:r w:rsidRPr="00CB655D">
        <w:rPr>
          <w:rFonts w:cs="Arial"/>
          <w:szCs w:val="20"/>
          <w:lang w:val="cs-CZ"/>
        </w:rPr>
        <w:t>) je přední mezinárodně uznávaná vědecká instituce, jejímž hlavním posláním je základní výzkum v oblasti chemické biologie a medicinální chemie, organické a materiálové chemie, chemie přírodních látek, biochemie a molekulární biologie, fyzikální chemie, teoretické chemie a analytické chemie. Nedílnou součástí poslání ÚOCHB je přenos výsledků základního výzkumu do praxe. Důraz na mezioborové zaměření výzkumu ústí do řady aplikací v medicíně, farmacii a dalších odvětvích.</w:t>
      </w:r>
    </w:p>
    <w:p w14:paraId="53AB1998" w14:textId="77777777" w:rsidR="000E694E" w:rsidRPr="00CB655D" w:rsidRDefault="000E694E" w:rsidP="00C41A7C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kern w:val="1"/>
          <w:szCs w:val="20"/>
          <w:lang w:val="cs-CZ"/>
        </w:rPr>
      </w:pPr>
    </w:p>
    <w:p w14:paraId="6CAEF83A" w14:textId="3B3FEA90" w:rsidR="000E694E" w:rsidRPr="00CB655D" w:rsidRDefault="00AB6B11" w:rsidP="00A44EA5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kern w:val="1"/>
          <w:szCs w:val="20"/>
          <w:lang w:val="cs-CZ"/>
        </w:rPr>
      </w:pPr>
      <w:r w:rsidRPr="00CB655D">
        <w:rPr>
          <w:rFonts w:cs="Arial"/>
          <w:kern w:val="1"/>
          <w:szCs w:val="20"/>
          <w:lang w:val="cs-CZ"/>
        </w:rPr>
        <w:t>--- KONEC TISKOVÉ ZPRÁVY ---</w:t>
      </w:r>
    </w:p>
    <w:p w14:paraId="5A9D7F16" w14:textId="77777777" w:rsidR="00A44EA5" w:rsidRPr="00CB655D" w:rsidRDefault="00A44EA5" w:rsidP="00A44EA5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kern w:val="1"/>
          <w:szCs w:val="20"/>
          <w:lang w:val="cs-CZ"/>
        </w:rPr>
      </w:pPr>
    </w:p>
    <w:p w14:paraId="0F75C84D" w14:textId="77777777" w:rsidR="00B94938" w:rsidRPr="00CB655D" w:rsidRDefault="00753C1C" w:rsidP="00C41A7C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outlineLvl w:val="0"/>
        <w:rPr>
          <w:rFonts w:cs="Arial"/>
          <w:b/>
          <w:kern w:val="1"/>
          <w:szCs w:val="20"/>
          <w:lang w:val="cs-CZ"/>
        </w:rPr>
      </w:pPr>
      <w:r w:rsidRPr="00CB655D">
        <w:rPr>
          <w:rFonts w:cs="Arial"/>
          <w:b/>
          <w:kern w:val="1"/>
          <w:szCs w:val="20"/>
          <w:lang w:val="cs-CZ"/>
        </w:rPr>
        <w:t>KONTAKT PRO NOVINÁŘE:</w:t>
      </w:r>
    </w:p>
    <w:p w14:paraId="539D1A0E" w14:textId="77777777" w:rsidR="00D839F6" w:rsidRPr="00CB655D" w:rsidRDefault="00D839F6" w:rsidP="00D839F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cs="Arial"/>
          <w:color w:val="002060"/>
          <w:kern w:val="1"/>
          <w:szCs w:val="20"/>
          <w:lang w:val="cs-CZ"/>
        </w:rPr>
      </w:pPr>
      <w:r w:rsidRPr="00CB655D">
        <w:rPr>
          <w:rFonts w:cs="Arial"/>
          <w:kern w:val="1"/>
          <w:szCs w:val="20"/>
          <w:lang w:val="cs-CZ"/>
        </w:rPr>
        <w:t xml:space="preserve">Tereza Mašínová (tisková mluvčí ÚOCHB): </w:t>
      </w:r>
      <w:hyperlink r:id="rId9" w:history="1">
        <w:r w:rsidRPr="00CB655D">
          <w:rPr>
            <w:rStyle w:val="Hyperlink"/>
            <w:rFonts w:eastAsia="SimSun" w:cs="Arial"/>
            <w:b/>
            <w:iCs/>
            <w:color w:val="002060"/>
            <w:kern w:val="3"/>
            <w:szCs w:val="20"/>
            <w:u w:val="none"/>
            <w:lang w:val="cs-CZ"/>
          </w:rPr>
          <w:t>tereza.masinova@uochb.cas.cz</w:t>
        </w:r>
      </w:hyperlink>
      <w:r w:rsidRPr="00CB655D">
        <w:rPr>
          <w:rFonts w:cs="Arial"/>
          <w:color w:val="002060"/>
          <w:kern w:val="1"/>
          <w:szCs w:val="20"/>
          <w:lang w:val="cs-CZ"/>
        </w:rPr>
        <w:t xml:space="preserve"> </w:t>
      </w:r>
    </w:p>
    <w:p w14:paraId="4CFD7EC6" w14:textId="77777777" w:rsidR="00D839F6" w:rsidRPr="00CB655D" w:rsidRDefault="00D839F6" w:rsidP="00D839F6">
      <w:pPr>
        <w:widowControl w:val="0"/>
        <w:suppressAutoHyphens/>
        <w:autoSpaceDE w:val="0"/>
        <w:autoSpaceDN w:val="0"/>
        <w:adjustRightInd w:val="0"/>
        <w:spacing w:before="120" w:after="120" w:line="276" w:lineRule="auto"/>
        <w:rPr>
          <w:rFonts w:cs="Arial"/>
          <w:kern w:val="1"/>
          <w:szCs w:val="20"/>
          <w:lang w:val="cs-CZ"/>
        </w:rPr>
      </w:pPr>
      <w:r w:rsidRPr="00CB655D">
        <w:rPr>
          <w:rFonts w:cs="Arial"/>
          <w:kern w:val="1"/>
          <w:szCs w:val="20"/>
          <w:lang w:val="cs-CZ"/>
        </w:rPr>
        <w:t>Tel: +420 721 443 426</w:t>
      </w:r>
    </w:p>
    <w:p w14:paraId="5E94A1FF" w14:textId="77777777" w:rsidR="00EC508C" w:rsidRPr="00CB655D" w:rsidRDefault="00EC508C" w:rsidP="00C41A7C">
      <w:pPr>
        <w:suppressAutoHyphens/>
        <w:spacing w:before="120" w:after="120" w:line="276" w:lineRule="auto"/>
        <w:rPr>
          <w:rFonts w:cs="Arial"/>
          <w:lang w:val="cs-CZ"/>
        </w:rPr>
      </w:pPr>
    </w:p>
    <w:sectPr w:rsidR="00EC508C" w:rsidRPr="00CB655D" w:rsidSect="001143DA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701" w:right="141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203A" w14:textId="77777777" w:rsidR="00A830B3" w:rsidRDefault="00A830B3" w:rsidP="00AF7F5A">
      <w:r>
        <w:separator/>
      </w:r>
    </w:p>
  </w:endnote>
  <w:endnote w:type="continuationSeparator" w:id="0">
    <w:p w14:paraId="5E6A24B5" w14:textId="77777777" w:rsidR="00A830B3" w:rsidRDefault="00A830B3" w:rsidP="00AF7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66FF" w14:textId="77777777" w:rsidR="00AF7F5A" w:rsidRDefault="004B2E85" w:rsidP="00322131">
    <w:pPr>
      <w:pStyle w:val="Footer"/>
      <w:ind w:left="-1417"/>
    </w:pPr>
    <w:r>
      <w:rPr>
        <w:noProof/>
        <w:lang w:val="cs-CZ" w:eastAsia="cs-CZ"/>
      </w:rPr>
      <w:drawing>
        <wp:anchor distT="0" distB="0" distL="114300" distR="114300" simplePos="0" relativeHeight="251662336" behindDoc="0" locked="0" layoutInCell="1" allowOverlap="1" wp14:anchorId="6B63EB52" wp14:editId="2DB6E69F">
          <wp:simplePos x="0" y="0"/>
          <wp:positionH relativeFrom="margin">
            <wp:posOffset>-897890</wp:posOffset>
          </wp:positionH>
          <wp:positionV relativeFrom="margin">
            <wp:posOffset>8723630</wp:posOffset>
          </wp:positionV>
          <wp:extent cx="7559675" cy="971550"/>
          <wp:effectExtent l="0" t="0" r="3175" b="0"/>
          <wp:wrapSquare wrapText="bothSides"/>
          <wp:docPr id="1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isni papir footer 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F5A"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1D00230F" wp14:editId="294DAD39">
          <wp:simplePos x="0" y="0"/>
          <wp:positionH relativeFrom="column">
            <wp:posOffset>-893115</wp:posOffset>
          </wp:positionH>
          <wp:positionV relativeFrom="paragraph">
            <wp:posOffset>220980</wp:posOffset>
          </wp:positionV>
          <wp:extent cx="7560000" cy="972000"/>
          <wp:effectExtent l="0" t="0" r="3175" b="0"/>
          <wp:wrapSquare wrapText="bothSides"/>
          <wp:docPr id="1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isni papir footer 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9BCC" w14:textId="77777777" w:rsidR="00B94938" w:rsidRDefault="00B94938" w:rsidP="00B94938">
    <w:pPr>
      <w:pStyle w:val="Footer"/>
      <w:ind w:left="-1417"/>
    </w:pPr>
    <w:r>
      <w:rPr>
        <w:noProof/>
        <w:lang w:val="cs-CZ" w:eastAsia="cs-CZ"/>
      </w:rPr>
      <w:drawing>
        <wp:anchor distT="0" distB="0" distL="114300" distR="114300" simplePos="0" relativeHeight="251658240" behindDoc="0" locked="0" layoutInCell="1" allowOverlap="1" wp14:anchorId="0CE77E27" wp14:editId="51F9176C">
          <wp:simplePos x="0" y="0"/>
          <wp:positionH relativeFrom="margin">
            <wp:posOffset>-887953</wp:posOffset>
          </wp:positionH>
          <wp:positionV relativeFrom="margin">
            <wp:posOffset>8734821</wp:posOffset>
          </wp:positionV>
          <wp:extent cx="7546596" cy="971550"/>
          <wp:effectExtent l="0" t="0" r="0" b="0"/>
          <wp:wrapSquare wrapText="bothSides"/>
          <wp:docPr id="1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96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64B6A" w14:textId="77777777" w:rsidR="00A830B3" w:rsidRDefault="00A830B3" w:rsidP="00AF7F5A">
      <w:r>
        <w:separator/>
      </w:r>
    </w:p>
  </w:footnote>
  <w:footnote w:type="continuationSeparator" w:id="0">
    <w:p w14:paraId="181F201E" w14:textId="77777777" w:rsidR="00A830B3" w:rsidRDefault="00A830B3" w:rsidP="00AF7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0D5C" w14:textId="77777777" w:rsidR="00AF7F5A" w:rsidRDefault="00AF7F5A" w:rsidP="000D457B">
    <w:pPr>
      <w:pStyle w:val="Header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F852" w14:textId="04A30D8D" w:rsidR="007D2D4A" w:rsidRDefault="007D2D4A" w:rsidP="007D2D4A">
    <w:pPr>
      <w:pStyle w:val="Header"/>
      <w:rPr>
        <w:rFonts w:cs="Arial"/>
        <w:iCs/>
        <w:szCs w:val="20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60288" behindDoc="1" locked="0" layoutInCell="1" allowOverlap="1" wp14:anchorId="23FB3515" wp14:editId="18080594">
          <wp:simplePos x="0" y="0"/>
          <wp:positionH relativeFrom="column">
            <wp:posOffset>-886781</wp:posOffset>
          </wp:positionH>
          <wp:positionV relativeFrom="paragraph">
            <wp:posOffset>0</wp:posOffset>
          </wp:positionV>
          <wp:extent cx="7559672" cy="1919681"/>
          <wp:effectExtent l="0" t="0" r="3810" b="4445"/>
          <wp:wrapNone/>
          <wp:docPr id="1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2" cy="1919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17A38B" w14:textId="1D59446F" w:rsidR="007D2D4A" w:rsidRDefault="007D2D4A" w:rsidP="007D2D4A">
    <w:pPr>
      <w:pStyle w:val="Header"/>
      <w:rPr>
        <w:rFonts w:cs="Arial"/>
        <w:iCs/>
        <w:szCs w:val="20"/>
        <w:lang w:val="cs-CZ"/>
      </w:rPr>
    </w:pPr>
  </w:p>
  <w:p w14:paraId="7460157C" w14:textId="77777777" w:rsidR="007D2D4A" w:rsidRDefault="007D2D4A" w:rsidP="007D2D4A">
    <w:pPr>
      <w:pStyle w:val="Header"/>
      <w:rPr>
        <w:rFonts w:cs="Arial"/>
        <w:iCs/>
        <w:szCs w:val="20"/>
        <w:lang w:val="cs-CZ"/>
      </w:rPr>
    </w:pPr>
  </w:p>
  <w:p w14:paraId="1D2C6331" w14:textId="77777777" w:rsidR="007D2D4A" w:rsidRDefault="007D2D4A" w:rsidP="007D2D4A">
    <w:pPr>
      <w:pStyle w:val="Header"/>
      <w:rPr>
        <w:rFonts w:cs="Arial"/>
        <w:iCs/>
        <w:szCs w:val="20"/>
        <w:lang w:val="cs-CZ"/>
      </w:rPr>
    </w:pPr>
  </w:p>
  <w:p w14:paraId="6272AE08" w14:textId="13B20C2C" w:rsidR="00B94938" w:rsidRPr="007D2D4A" w:rsidRDefault="007D2D4A" w:rsidP="007D2D4A">
    <w:pPr>
      <w:pStyle w:val="Header"/>
      <w:jc w:val="right"/>
      <w:rPr>
        <w:rFonts w:cs="Arial"/>
        <w:iCs/>
        <w:szCs w:val="20"/>
        <w:lang w:val="cs-CZ"/>
      </w:rPr>
    </w:pPr>
    <w:r w:rsidRPr="00511B15">
      <w:rPr>
        <w:rFonts w:cs="Arial"/>
        <w:noProof/>
        <w:szCs w:val="20"/>
        <w:lang w:val="cs-CZ"/>
      </w:rPr>
      <w:t>TISKOVÁ ZPRÁVA</w:t>
    </w:r>
    <w:r>
      <w:rPr>
        <w:noProof/>
        <w:lang w:val="cs-CZ" w:eastAsia="cs-CZ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c3s7A0Mja2NLIwtzRX0lEKTi0uzszPAykwrAUAcjd82CwAAAA="/>
  </w:docVars>
  <w:rsids>
    <w:rsidRoot w:val="00AF7F5A"/>
    <w:rsid w:val="00000DCB"/>
    <w:rsid w:val="00003E03"/>
    <w:rsid w:val="0000552D"/>
    <w:rsid w:val="00015C56"/>
    <w:rsid w:val="00031703"/>
    <w:rsid w:val="0003226B"/>
    <w:rsid w:val="0003522A"/>
    <w:rsid w:val="00067A28"/>
    <w:rsid w:val="00072817"/>
    <w:rsid w:val="00081A54"/>
    <w:rsid w:val="00090482"/>
    <w:rsid w:val="000927BA"/>
    <w:rsid w:val="00094800"/>
    <w:rsid w:val="000B034B"/>
    <w:rsid w:val="000B1552"/>
    <w:rsid w:val="000B38E1"/>
    <w:rsid w:val="000B5FE5"/>
    <w:rsid w:val="000C48B9"/>
    <w:rsid w:val="000C4D9E"/>
    <w:rsid w:val="000D457B"/>
    <w:rsid w:val="000D673F"/>
    <w:rsid w:val="000E0E27"/>
    <w:rsid w:val="000E5E27"/>
    <w:rsid w:val="000E694E"/>
    <w:rsid w:val="001009D7"/>
    <w:rsid w:val="001143DA"/>
    <w:rsid w:val="00121FB2"/>
    <w:rsid w:val="00124955"/>
    <w:rsid w:val="001251A9"/>
    <w:rsid w:val="0013285C"/>
    <w:rsid w:val="001405DF"/>
    <w:rsid w:val="00144C5A"/>
    <w:rsid w:val="001570BC"/>
    <w:rsid w:val="00171030"/>
    <w:rsid w:val="001A0F7A"/>
    <w:rsid w:val="001A60D0"/>
    <w:rsid w:val="001D113F"/>
    <w:rsid w:val="001E2462"/>
    <w:rsid w:val="0020004D"/>
    <w:rsid w:val="00211044"/>
    <w:rsid w:val="00216214"/>
    <w:rsid w:val="00231BF4"/>
    <w:rsid w:val="00234FBA"/>
    <w:rsid w:val="00240586"/>
    <w:rsid w:val="00262A5A"/>
    <w:rsid w:val="00297A1D"/>
    <w:rsid w:val="002A14A1"/>
    <w:rsid w:val="002A218E"/>
    <w:rsid w:val="002A2806"/>
    <w:rsid w:val="002B080C"/>
    <w:rsid w:val="002B1DC2"/>
    <w:rsid w:val="002B561D"/>
    <w:rsid w:val="002C3AEE"/>
    <w:rsid w:val="002E01AA"/>
    <w:rsid w:val="002E0764"/>
    <w:rsid w:val="002E687C"/>
    <w:rsid w:val="003043D8"/>
    <w:rsid w:val="003067F3"/>
    <w:rsid w:val="00310D76"/>
    <w:rsid w:val="00314B64"/>
    <w:rsid w:val="00322131"/>
    <w:rsid w:val="003245B5"/>
    <w:rsid w:val="00333070"/>
    <w:rsid w:val="003405FD"/>
    <w:rsid w:val="00341F1A"/>
    <w:rsid w:val="003519D7"/>
    <w:rsid w:val="00355385"/>
    <w:rsid w:val="003674CD"/>
    <w:rsid w:val="00374AEE"/>
    <w:rsid w:val="00377168"/>
    <w:rsid w:val="003A5FAB"/>
    <w:rsid w:val="003A6F76"/>
    <w:rsid w:val="003A7BC0"/>
    <w:rsid w:val="003B0C66"/>
    <w:rsid w:val="003B4396"/>
    <w:rsid w:val="003B5575"/>
    <w:rsid w:val="003B59C5"/>
    <w:rsid w:val="003C2042"/>
    <w:rsid w:val="003C5042"/>
    <w:rsid w:val="003D05A2"/>
    <w:rsid w:val="003D0A8F"/>
    <w:rsid w:val="003D5833"/>
    <w:rsid w:val="004000BA"/>
    <w:rsid w:val="00406F06"/>
    <w:rsid w:val="00407561"/>
    <w:rsid w:val="00456677"/>
    <w:rsid w:val="00457720"/>
    <w:rsid w:val="00457928"/>
    <w:rsid w:val="00461E0A"/>
    <w:rsid w:val="00466F6D"/>
    <w:rsid w:val="004735A9"/>
    <w:rsid w:val="00474DD1"/>
    <w:rsid w:val="00477F9E"/>
    <w:rsid w:val="00492D08"/>
    <w:rsid w:val="00497CFD"/>
    <w:rsid w:val="004A0276"/>
    <w:rsid w:val="004A09CD"/>
    <w:rsid w:val="004A623D"/>
    <w:rsid w:val="004B2709"/>
    <w:rsid w:val="004B2E85"/>
    <w:rsid w:val="004B48BA"/>
    <w:rsid w:val="004B5024"/>
    <w:rsid w:val="004D21B2"/>
    <w:rsid w:val="004F0F67"/>
    <w:rsid w:val="0050323B"/>
    <w:rsid w:val="0050352F"/>
    <w:rsid w:val="00505B7A"/>
    <w:rsid w:val="00511B15"/>
    <w:rsid w:val="00521C2C"/>
    <w:rsid w:val="0052203D"/>
    <w:rsid w:val="00523415"/>
    <w:rsid w:val="00550A33"/>
    <w:rsid w:val="00557F20"/>
    <w:rsid w:val="005615B5"/>
    <w:rsid w:val="00561DC3"/>
    <w:rsid w:val="00566DB2"/>
    <w:rsid w:val="00576DC5"/>
    <w:rsid w:val="00581E44"/>
    <w:rsid w:val="005A1E70"/>
    <w:rsid w:val="005A6320"/>
    <w:rsid w:val="005C04E3"/>
    <w:rsid w:val="005F12C4"/>
    <w:rsid w:val="005F7683"/>
    <w:rsid w:val="00601397"/>
    <w:rsid w:val="00604685"/>
    <w:rsid w:val="00607447"/>
    <w:rsid w:val="00612BDD"/>
    <w:rsid w:val="00613D00"/>
    <w:rsid w:val="0061608D"/>
    <w:rsid w:val="006278BC"/>
    <w:rsid w:val="00631D35"/>
    <w:rsid w:val="006472A2"/>
    <w:rsid w:val="00663CD1"/>
    <w:rsid w:val="00691009"/>
    <w:rsid w:val="00692FAC"/>
    <w:rsid w:val="00694738"/>
    <w:rsid w:val="006A2EB9"/>
    <w:rsid w:val="006A3902"/>
    <w:rsid w:val="006A7334"/>
    <w:rsid w:val="006B582C"/>
    <w:rsid w:val="006C2BC2"/>
    <w:rsid w:val="006D11EF"/>
    <w:rsid w:val="006D7118"/>
    <w:rsid w:val="006E35DE"/>
    <w:rsid w:val="006E7F06"/>
    <w:rsid w:val="00700E27"/>
    <w:rsid w:val="00701BB6"/>
    <w:rsid w:val="00722812"/>
    <w:rsid w:val="00730CE3"/>
    <w:rsid w:val="007315A0"/>
    <w:rsid w:val="0073551E"/>
    <w:rsid w:val="00736BEB"/>
    <w:rsid w:val="00744B77"/>
    <w:rsid w:val="0074601F"/>
    <w:rsid w:val="0075190D"/>
    <w:rsid w:val="00753C1C"/>
    <w:rsid w:val="00764E2B"/>
    <w:rsid w:val="007758DE"/>
    <w:rsid w:val="00776F9E"/>
    <w:rsid w:val="00780670"/>
    <w:rsid w:val="0078119E"/>
    <w:rsid w:val="00791383"/>
    <w:rsid w:val="007A304C"/>
    <w:rsid w:val="007A550F"/>
    <w:rsid w:val="007B0D37"/>
    <w:rsid w:val="007B3C52"/>
    <w:rsid w:val="007B411C"/>
    <w:rsid w:val="007C01B3"/>
    <w:rsid w:val="007D2D4A"/>
    <w:rsid w:val="00802658"/>
    <w:rsid w:val="00806E47"/>
    <w:rsid w:val="00814C13"/>
    <w:rsid w:val="008225A3"/>
    <w:rsid w:val="008256E8"/>
    <w:rsid w:val="00830C8E"/>
    <w:rsid w:val="00860146"/>
    <w:rsid w:val="00867BDA"/>
    <w:rsid w:val="0087543F"/>
    <w:rsid w:val="00876B8A"/>
    <w:rsid w:val="008930DD"/>
    <w:rsid w:val="008B3011"/>
    <w:rsid w:val="008C29CD"/>
    <w:rsid w:val="008C49DF"/>
    <w:rsid w:val="008D1D7E"/>
    <w:rsid w:val="008E17EF"/>
    <w:rsid w:val="008E5D35"/>
    <w:rsid w:val="008E6967"/>
    <w:rsid w:val="008F2A09"/>
    <w:rsid w:val="00900479"/>
    <w:rsid w:val="009025FC"/>
    <w:rsid w:val="0090783C"/>
    <w:rsid w:val="00914083"/>
    <w:rsid w:val="0092019B"/>
    <w:rsid w:val="0092351C"/>
    <w:rsid w:val="0092473E"/>
    <w:rsid w:val="0093221B"/>
    <w:rsid w:val="00933EC9"/>
    <w:rsid w:val="009407FE"/>
    <w:rsid w:val="009422DB"/>
    <w:rsid w:val="00944C6B"/>
    <w:rsid w:val="00953894"/>
    <w:rsid w:val="00956461"/>
    <w:rsid w:val="00960C65"/>
    <w:rsid w:val="0097095B"/>
    <w:rsid w:val="009834E1"/>
    <w:rsid w:val="00990324"/>
    <w:rsid w:val="009954AF"/>
    <w:rsid w:val="009A605E"/>
    <w:rsid w:val="009C0D5E"/>
    <w:rsid w:val="009C122C"/>
    <w:rsid w:val="009C6015"/>
    <w:rsid w:val="009C7369"/>
    <w:rsid w:val="009E3B46"/>
    <w:rsid w:val="009F38D0"/>
    <w:rsid w:val="00A100EF"/>
    <w:rsid w:val="00A12362"/>
    <w:rsid w:val="00A17A14"/>
    <w:rsid w:val="00A2454F"/>
    <w:rsid w:val="00A3063B"/>
    <w:rsid w:val="00A44EA5"/>
    <w:rsid w:val="00A46531"/>
    <w:rsid w:val="00A47279"/>
    <w:rsid w:val="00A57B40"/>
    <w:rsid w:val="00A63CC2"/>
    <w:rsid w:val="00A65CDE"/>
    <w:rsid w:val="00A67963"/>
    <w:rsid w:val="00A736C8"/>
    <w:rsid w:val="00A75311"/>
    <w:rsid w:val="00A830B3"/>
    <w:rsid w:val="00AB6B11"/>
    <w:rsid w:val="00AC200E"/>
    <w:rsid w:val="00AD6D81"/>
    <w:rsid w:val="00AF744A"/>
    <w:rsid w:val="00AF7F5A"/>
    <w:rsid w:val="00B018FA"/>
    <w:rsid w:val="00B11191"/>
    <w:rsid w:val="00B24E0C"/>
    <w:rsid w:val="00B24F50"/>
    <w:rsid w:val="00B42B7E"/>
    <w:rsid w:val="00B43B4D"/>
    <w:rsid w:val="00B451EC"/>
    <w:rsid w:val="00B50CC4"/>
    <w:rsid w:val="00B51446"/>
    <w:rsid w:val="00B531D4"/>
    <w:rsid w:val="00B56557"/>
    <w:rsid w:val="00B65993"/>
    <w:rsid w:val="00B67597"/>
    <w:rsid w:val="00B72D01"/>
    <w:rsid w:val="00B73ACC"/>
    <w:rsid w:val="00B94938"/>
    <w:rsid w:val="00BB55B1"/>
    <w:rsid w:val="00C173B8"/>
    <w:rsid w:val="00C26B10"/>
    <w:rsid w:val="00C41A7C"/>
    <w:rsid w:val="00C441FA"/>
    <w:rsid w:val="00C555A9"/>
    <w:rsid w:val="00C57AAC"/>
    <w:rsid w:val="00C611B3"/>
    <w:rsid w:val="00C746D5"/>
    <w:rsid w:val="00C80A2C"/>
    <w:rsid w:val="00CB655D"/>
    <w:rsid w:val="00CB77FB"/>
    <w:rsid w:val="00CC33E4"/>
    <w:rsid w:val="00CD69CC"/>
    <w:rsid w:val="00CD7289"/>
    <w:rsid w:val="00CE27F3"/>
    <w:rsid w:val="00CF0DE7"/>
    <w:rsid w:val="00CF4426"/>
    <w:rsid w:val="00D1249C"/>
    <w:rsid w:val="00D124AC"/>
    <w:rsid w:val="00D1568D"/>
    <w:rsid w:val="00D21D82"/>
    <w:rsid w:val="00D272B9"/>
    <w:rsid w:val="00D27F16"/>
    <w:rsid w:val="00D40BC4"/>
    <w:rsid w:val="00D54D47"/>
    <w:rsid w:val="00D639CC"/>
    <w:rsid w:val="00D8016E"/>
    <w:rsid w:val="00D839F6"/>
    <w:rsid w:val="00D92EA2"/>
    <w:rsid w:val="00DA27A9"/>
    <w:rsid w:val="00DA2E69"/>
    <w:rsid w:val="00DA4F79"/>
    <w:rsid w:val="00DC1047"/>
    <w:rsid w:val="00DC6AD5"/>
    <w:rsid w:val="00DD52CC"/>
    <w:rsid w:val="00DE0585"/>
    <w:rsid w:val="00DF644C"/>
    <w:rsid w:val="00E0303C"/>
    <w:rsid w:val="00E150BC"/>
    <w:rsid w:val="00E17FD6"/>
    <w:rsid w:val="00E22119"/>
    <w:rsid w:val="00E30104"/>
    <w:rsid w:val="00E4205E"/>
    <w:rsid w:val="00E420AC"/>
    <w:rsid w:val="00E50E59"/>
    <w:rsid w:val="00E53F41"/>
    <w:rsid w:val="00E540E3"/>
    <w:rsid w:val="00E61839"/>
    <w:rsid w:val="00E81C5B"/>
    <w:rsid w:val="00E81F3C"/>
    <w:rsid w:val="00E86A51"/>
    <w:rsid w:val="00EB24BA"/>
    <w:rsid w:val="00EB764D"/>
    <w:rsid w:val="00EC508C"/>
    <w:rsid w:val="00EC6788"/>
    <w:rsid w:val="00F03B27"/>
    <w:rsid w:val="00F04DDE"/>
    <w:rsid w:val="00F40C69"/>
    <w:rsid w:val="00F42A51"/>
    <w:rsid w:val="00F43EDE"/>
    <w:rsid w:val="00F661EA"/>
    <w:rsid w:val="00F7589A"/>
    <w:rsid w:val="00F856CF"/>
    <w:rsid w:val="00F870DD"/>
    <w:rsid w:val="00FA3211"/>
    <w:rsid w:val="00FB0AF3"/>
    <w:rsid w:val="00FB131A"/>
    <w:rsid w:val="00FC1E51"/>
    <w:rsid w:val="00FC6AF3"/>
    <w:rsid w:val="00FD5077"/>
    <w:rsid w:val="00FD6A3A"/>
    <w:rsid w:val="00FE0664"/>
    <w:rsid w:val="00FE25FC"/>
    <w:rsid w:val="00FE7DEC"/>
    <w:rsid w:val="00FF0643"/>
    <w:rsid w:val="00FF135F"/>
    <w:rsid w:val="00FF1866"/>
    <w:rsid w:val="00FF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B37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C2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2709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70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F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F5A"/>
  </w:style>
  <w:style w:type="paragraph" w:styleId="Footer">
    <w:name w:val="footer"/>
    <w:basedOn w:val="Normal"/>
    <w:link w:val="FooterChar"/>
    <w:uiPriority w:val="99"/>
    <w:unhideWhenUsed/>
    <w:rsid w:val="00AF7F5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F5A"/>
  </w:style>
  <w:style w:type="paragraph" w:styleId="BalloonText">
    <w:name w:val="Balloon Text"/>
    <w:basedOn w:val="Normal"/>
    <w:link w:val="BalloonTextChar"/>
    <w:uiPriority w:val="99"/>
    <w:semiHidden/>
    <w:unhideWhenUsed/>
    <w:rsid w:val="004B27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70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B2709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709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B2709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709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70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B2709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B2709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B2709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4B2709"/>
    <w:rPr>
      <w:rFonts w:ascii="Arial" w:hAnsi="Arial"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4B2709"/>
    <w:rPr>
      <w:rFonts w:ascii="Arial" w:hAnsi="Arial"/>
      <w:b/>
      <w:bCs/>
    </w:rPr>
  </w:style>
  <w:style w:type="character" w:styleId="BookTitle">
    <w:name w:val="Book Title"/>
    <w:basedOn w:val="DefaultParagraphFont"/>
    <w:uiPriority w:val="33"/>
    <w:qFormat/>
    <w:rsid w:val="004B2709"/>
    <w:rPr>
      <w:rFonts w:ascii="Arial" w:hAnsi="Arial"/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4B2709"/>
    <w:rPr>
      <w:rFonts w:ascii="Arial" w:hAnsi="Arial"/>
      <w:b/>
      <w:bCs/>
      <w:smallCaps/>
      <w:color w:val="5B9BD5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4B2709"/>
    <w:rPr>
      <w:rFonts w:ascii="Arial" w:hAnsi="Arial"/>
      <w:smallCaps/>
      <w:color w:val="5A5A5A" w:themeColor="text1" w:themeTint="A5"/>
    </w:rPr>
  </w:style>
  <w:style w:type="paragraph" w:styleId="NormalWeb">
    <w:name w:val="Normal (Web)"/>
    <w:basedOn w:val="Normal"/>
    <w:uiPriority w:val="99"/>
    <w:unhideWhenUsed/>
    <w:rsid w:val="00B949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unhideWhenUsed/>
    <w:rsid w:val="00B94938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4938"/>
    <w:pPr>
      <w:spacing w:after="200"/>
    </w:pPr>
    <w:rPr>
      <w:rFonts w:eastAsia="Calibri" w:cs="Times New Roman"/>
      <w:i/>
      <w:iCs/>
      <w:color w:val="44546A"/>
      <w:sz w:val="18"/>
      <w:szCs w:val="18"/>
      <w:lang w:val="cs-CZ"/>
    </w:rPr>
  </w:style>
  <w:style w:type="paragraph" w:customStyle="1" w:styleId="Standard">
    <w:name w:val="Standard"/>
    <w:rsid w:val="00C746D5"/>
    <w:pPr>
      <w:suppressAutoHyphens/>
      <w:autoSpaceDN w:val="0"/>
      <w:textAlignment w:val="baseline"/>
    </w:pPr>
    <w:rPr>
      <w:rFonts w:ascii="Arial" w:eastAsia="SimSun" w:hAnsi="Arial" w:cs="F"/>
      <w:kern w:val="3"/>
      <w:sz w:val="20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9954A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6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6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chb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oi.org/10.1002/adhm.71667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reza.masinova@uochb.cas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D3E7E-6213-422E-B92B-FB00A2E71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IOCB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</dc:creator>
  <cp:keywords/>
  <dc:description/>
  <cp:lastModifiedBy>Tereza Masinova</cp:lastModifiedBy>
  <cp:revision>6</cp:revision>
  <cp:lastPrinted>2017-08-09T12:51:00Z</cp:lastPrinted>
  <dcterms:created xsi:type="dcterms:W3CDTF">2026-09-22T12:03:00Z</dcterms:created>
  <dcterms:modified xsi:type="dcterms:W3CDTF">2026-09-23T07:12:00Z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cd83720a6cb8e73ba1aecf0f3bfae0e82adda607a13b9fdf06005a3bcd0bd47b</vt:lpwstr>
  </property>
</Properties>
</file>