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15" w:type="dxa"/>
        <w:shd w:val="clear" w:color="auto" w:fill="008C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7192"/>
        <w:gridCol w:w="940"/>
      </w:tblGrid>
      <w:tr w:rsidR="005778C8">
        <w:trPr>
          <w:tblCellSpacing w:w="15" w:type="dxa"/>
          <w:jc w:val="center"/>
        </w:trPr>
        <w:tc>
          <w:tcPr>
            <w:tcW w:w="500" w:type="pct"/>
            <w:shd w:val="clear" w:color="auto" w:fill="008CCE"/>
            <w:vAlign w:val="center"/>
          </w:tcPr>
          <w:p w:rsidR="005778C8" w:rsidRDefault="005778C8"/>
          <w:p w:rsidR="005778C8" w:rsidRDefault="005778C8"/>
        </w:tc>
        <w:tc>
          <w:tcPr>
            <w:tcW w:w="4000" w:type="pct"/>
            <w:shd w:val="clear" w:color="auto" w:fill="008CCE"/>
            <w:vAlign w:val="center"/>
          </w:tcPr>
          <w:p w:rsidR="005778C8" w:rsidRDefault="000B4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72"/>
                <w:szCs w:val="72"/>
              </w:rPr>
              <w:t>Astronomický ústav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color w:val="FFFFFF"/>
                <w:sz w:val="36"/>
                <w:szCs w:val="36"/>
              </w:rPr>
              <w:t>Akademie věd České republiky, v. v. i.</w:t>
            </w:r>
          </w:p>
        </w:tc>
        <w:tc>
          <w:tcPr>
            <w:tcW w:w="500" w:type="pct"/>
            <w:shd w:val="clear" w:color="auto" w:fill="008CCE"/>
            <w:vAlign w:val="center"/>
          </w:tcPr>
          <w:p w:rsidR="005778C8" w:rsidRDefault="005778C8"/>
        </w:tc>
      </w:tr>
    </w:tbl>
    <w:p w:rsidR="005778C8" w:rsidRDefault="005778C8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F3BE3" w:rsidRPr="00AF3BE3" w:rsidRDefault="00AF3BE3" w:rsidP="00AF3B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cs-CZ"/>
        </w:rPr>
      </w:pPr>
      <w:r w:rsidRPr="00AF3B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Čeští astronomové poprvé změřili teplotu plazmatu relativistických rázových vln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Pr="00AF3B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v kosmickém urychlovači</w:t>
      </w:r>
    </w:p>
    <w:p w:rsidR="00AF3BE3" w:rsidRDefault="00AF3BE3">
      <w:pPr>
        <w:pStyle w:val="Zkladntext"/>
        <w:spacing w:after="100" w:afterAutospacing="1" w:line="240" w:lineRule="auto"/>
        <w:jc w:val="center"/>
        <w:rPr>
          <w:rFonts w:ascii="Times New Roman" w:hAnsi="Times New Roman" w:cs="Times New Roman"/>
          <w:lang w:val="cs-CZ"/>
        </w:rPr>
      </w:pPr>
    </w:p>
    <w:p w:rsidR="005778C8" w:rsidRDefault="000B4ABD">
      <w:pPr>
        <w:pStyle w:val="Zkladntext"/>
        <w:spacing w:after="100" w:afterAutospacing="1" w:line="240" w:lineRule="auto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Tisková zpráva z </w:t>
      </w:r>
      <w:r w:rsidR="00AA64AE">
        <w:rPr>
          <w:rFonts w:ascii="Times New Roman" w:hAnsi="Times New Roman" w:cs="Times New Roman"/>
          <w:lang w:val="cs-CZ"/>
        </w:rPr>
        <w:t>26</w:t>
      </w:r>
      <w:r>
        <w:rPr>
          <w:rFonts w:ascii="Times New Roman" w:hAnsi="Times New Roman" w:cs="Times New Roman"/>
          <w:lang w:val="cs-CZ"/>
        </w:rPr>
        <w:t>. červn</w:t>
      </w:r>
      <w:r w:rsidR="00AA64AE">
        <w:rPr>
          <w:rFonts w:ascii="Times New Roman" w:hAnsi="Times New Roman" w:cs="Times New Roman"/>
          <w:lang w:val="cs-CZ"/>
        </w:rPr>
        <w:t>a</w:t>
      </w:r>
      <w:r>
        <w:rPr>
          <w:rFonts w:ascii="Times New Roman" w:hAnsi="Times New Roman" w:cs="Times New Roman"/>
          <w:lang w:val="cs-CZ"/>
        </w:rPr>
        <w:t xml:space="preserve"> 2026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Záblesk ve vzdálenosti deseti miliard světelných let přinesl první přímé optické potvrzení patnáct let staré teoretické předpovědi</w:t>
      </w:r>
      <w:r w:rsidR="00AA64AE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Robotický dalekohled D50 Astronomického ústavu Akademie věd ČR v Ondřejově zachytil ve světelné křivce gama záblesku tvar předpovídaný od roku 2009, avšak dosud nikdy přesvědčivě pozorovaný: synchrotronové záření tepelné populace elektronů v</w:t>
      </w:r>
      <w:r w:rsidR="00970D4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relativistické rázové vlně. Jde o první přímé optické potvrzení klíčových předpovědí počítačových simulací a zároveň ukázku, že teplotu plazmatu v kosmickém urychlovači lze změřit z jediného pozemního dalekohledu.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Gama záblesky patří k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nejenergetičtějším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výbuchům ve vesmíru. Za několik sekund uvolní více energie, než Slunce vyzáří za celou dobu své existence. Když jejich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ultrarelativistická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plazmová obálka narazí do okolního mezihvězdného plynu, vzniká mohutná rázová vlna fungující jako přírodní urychlovač nabitých částic. Klíčová otázka fyziky </w:t>
      </w:r>
      <w:r w:rsidRPr="00E1400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plazmatu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zní: jaký podíl elektronů se urychlí a co se děje se zbytkem?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Simulace metodou „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particle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-in-cell" (PIC)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od roku 2009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předpovídají, že část elektronů zůstane neurychlená a přejde do tepelného Maxwellova rozložení s charakteristickým Lorentzovým faktorem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γ_th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zatímco zbývající urychlené elektrony tvoří mocninný (netermální) ocas. Obě populace vyzařují synchrotronové záření, jejich kombinaci se však z pozorování dosud nepodařilo jednoznačně rozlišit. Charakteristický tvar, který by tepelná složka zanechala ve světelné křivce, se v archivních datech z posledních dvou desetiletí vyskytl jen vzácně, u asi dvou procent ze stovek dostupných světelných křivek záblesků, a ve všech těchto případech mohly vedle tepelné interpretace platit i jiné.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213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Záblesk GRB </w:t>
      </w:r>
      <w:proofErr w:type="gramStart"/>
      <w:r w:rsidRPr="00A0213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250702F</w:t>
      </w:r>
      <w:proofErr w:type="gramEnd"/>
      <w:r w:rsidRPr="00A0213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zastihl ondřejovský dalekohled D50 dne 2. července 2025.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Půlmetrová optika 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dalekohledu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zahájila snímání pouhých 27,8 sekundy po satelitní výstraze, plně automaticky, bez zásahu obsluhy. Záblesk byl úspěšně nalezen programem vyvinutým v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rámci diplomové práce Filipa Novotného z Postupimské univerzity, na které v té době pracoval. Tento záblesk se nacházel přibližně deset miliard světelných let daleko (z = 1,520) a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uvolnil energii odpovídající zhruba 10⁵³ erg. </w:t>
      </w:r>
      <w:r w:rsidRPr="00E1400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Ondřejovský dalekohled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D50 sledoval záblesk nepřetržitě několik hodin s kadencí dostatečnou k zachycení jemné struktury světelné křivky.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V prvních třiceti až sto sekundách D50 zaznamenal zářivý optický záblesk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jehož spektrum tvořilo plynulý celek se zářením gama a rentgenovým zářením zachyceným družicemi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Fermi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>a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Swift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 pásu pokrývajícím pět řádů energie od </w:t>
      </w:r>
      <w:r w:rsidR="00E1400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viditelného spektra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až po 40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MeV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Byl to pohled do nitra výbuchu v době, kdy ještě probíhal.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Klíčový výsledek přišel o čtvrt hodiny později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Mezi přibližně 100 a 1400 sekundami zaznamenala světelná křivka charakteristický tvar: rychlý nárůst plynule přecházející do stále strmějšího poklesu s indexem α ~ 1,8, načež světelná křivka ostrým zlomem přejde do standardního dosvitu, morfologií vzdáleně připomínající hokejku. Standardní interpretace selhaly jedna po druhé: přední rázová vlna nemůže produkovat takto strmý pokles, zpětná rázová vlna nesedí ani časově, ani délkou trvání, rentgenové záblesky zachycené v tuto dobu satelity jsou od chování v optické části odlišné. </w:t>
      </w: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Žádné z nabízených vysvětlení neobstálo.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Model hybridní distribuce elektronů, kombinující Maxwellovo rozložení tepelné složky a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mocninný chvost, tuto morfologii přirozeně reprodukuje. Při zpomalování výtrysku klesá frekvence synchrotronového záření tepelné složky přibližně jako t</w:t>
      </w:r>
      <w:proofErr w:type="gram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^(</w:t>
      </w:r>
      <w:proofErr w:type="gram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-3/2) a prochází optickým pásmem shora dolů. Jakmile tato frekvence pásmo opustí, v optickém oboru začne dominovat jednoduchý mocninný pokles netermální složky, pozorovaný u záblesků gama zcela běžně. „Hokejka" je pak snadno čitelná: z načasování zlomu a z jejího tvaru lze vyčíst, jaký podíl elektronů je v termální populaci a jaká je její teplota.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fitu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světelné křivky plyne: podíl energie v netermálním chvostu δ = 0,84 ± 0,02, index elektronů p = 2,05 ± 0,01, charakteristický Lorentzův faktor tepelné populace </w:t>
      </w:r>
      <w:r w:rsidR="00E1400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elektronů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γ_th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≈ 900 a počáteční Lorentzův faktor výtrysku Γ₀ </w:t>
      </w:r>
      <w:r w:rsidRPr="00AF3BE3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≃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160. </w:t>
      </w:r>
      <w:r w:rsidRPr="00E1400F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Hodnota </w:t>
      </w:r>
      <w:proofErr w:type="spellStart"/>
      <w:r w:rsidRPr="00E1400F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γ_th</w:t>
      </w:r>
      <w:proofErr w:type="spellEnd"/>
      <w:r w:rsidRPr="00E1400F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≈ 900 odpovídá teplotě přibližně pěti bilionů Kelvinů, srovnatelné s teplotou v jádře hvězdy kolabující do neutronové hvězdy; je to jedna z nejvyšších teplot, jaké se v přírodě vyskytují.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Rentgenový dosvit, jenž do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fitování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zahrnut nebyl, model předpovídá v souladu s daty, což je silným nezávislým potvrzením.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Výsledky přinesly i fyzikální překvapení, předpovídané simulacemi PIC, avšak dosud neměřitelné: tepelné elektrony s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γ_th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≈ 900 jsou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energetičtější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než odpovídá prosté termalizaci pohybu rázové vlny (Γ </w:t>
      </w:r>
      <w:r w:rsidRPr="00AF3BE3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≃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160). Příčinou je, že v rázové vlně bez přímých srážek částic přebírají elektrony energii od protonů, jež jsou o faktor 1836 hmotnější, a jejich teplota je proto výrazně vyšší, než by prostý přepočet naznačoval.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„Tvar světelné křivky se chová jako teploměr,"</w:t>
      </w:r>
      <w:r w:rsidRPr="00AF3BE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říká dr. Martin Jelínek z Astronomického ústavu AV ČR v Ondřejově, první autor studie. </w:t>
      </w:r>
      <w:r w:rsidRPr="00AF3BE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„Z morfologie hokejky jsme poprvé přímo vyčetli, jak horká tepelná populace je a kolik energie v ní vězí. Jsou to čísla, která simulace předpovídala patnáct let, ale která dosud nikdo nebyl schopen naměřit přímo z optické světelné křivky."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F3BE3" w:rsidRP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Výsledky přesahují rámec gama záblesků. Tatáž otázka o poměru tepelné a netermální složky elektronů vyvstává u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pulsarových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mlhovin, výtrysků aktivních galaktických jader i u rázových vln ve slu</w:t>
      </w:r>
      <w:r w:rsidR="00EE11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eční koróně, u nichž srovnatelné přímé pozorování zatím chybí. Zde postačil půlmetrový pozemní dalekohled.</w:t>
      </w:r>
    </w:p>
    <w:p w:rsidR="00AF3BE3" w:rsidRPr="00AF3BE3" w:rsidRDefault="00AF3BE3" w:rsidP="00AF3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3BE3" w:rsidRDefault="00AF3BE3" w:rsidP="00AF3B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Na práci se </w:t>
      </w:r>
      <w:r w:rsidR="00AA64A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kromě Martina Jelínka, Filipa Novotného a Jana Štrobla z Astronomického ústavu AV ČR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podíleli </w:t>
      </w:r>
      <w:r w:rsidR="00AA64A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také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astrofyzikové z Gran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Sasso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Science Institute (Itálie), </w:t>
      </w:r>
      <w:proofErr w:type="gram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INFN -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Laboratori</w:t>
      </w:r>
      <w:proofErr w:type="spellEnd"/>
      <w:proofErr w:type="gram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Nazionali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del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Gran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Sasso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Purdue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University (USA), Caltech (USA),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Instituto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de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Astrofísica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de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Andalucía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(IAA-CSIC) v Granadě, Fyzikálního ústavu AV ČR, Masarykovy univerzity 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>a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Karlovy univerzity. Mezi spoluautory je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Dimitrios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Giannios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Purdue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University, jehož práce z roku 2009 předpověděla právě tuto morfologii světelné křivky jako otisk tepelné složky elektronů. Měření bylo doplněno daty z vesmírných observatoří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Fermi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Swift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</w:t>
      </w:r>
      <w:r w:rsidR="00A0213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desetimetrového dalekohledu Gran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Telescopio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Canarias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(GTC) na Kanárských ostrovech. Studie vy</w:t>
      </w:r>
      <w:r w:rsidR="00EE11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šla</w:t>
      </w:r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červnovém čísle časopisu Astronomy &amp; </w:t>
      </w:r>
      <w:proofErr w:type="spellStart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Astrophysics</w:t>
      </w:r>
      <w:proofErr w:type="spellEnd"/>
      <w:r w:rsidRPr="00AF3B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EE11C2" w:rsidRDefault="00EE11C2" w:rsidP="00AF3B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AF3BE3" w:rsidRDefault="000B4ABD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AF3BE3">
        <w:rPr>
          <w:rFonts w:ascii="Times New Roman" w:hAnsi="Times New Roman"/>
          <w:b/>
          <w:bCs/>
          <w:color w:val="222222"/>
          <w:sz w:val="24"/>
          <w:szCs w:val="24"/>
        </w:rPr>
        <w:t xml:space="preserve">Odkaz na vědeckou publikaci: </w:t>
      </w:r>
    </w:p>
    <w:p w:rsidR="00AF3BE3" w:rsidRDefault="0005637B">
      <w:pPr>
        <w:rPr>
          <w:rFonts w:ascii="Times New Roman" w:hAnsi="Times New Roman"/>
          <w:sz w:val="24"/>
          <w:szCs w:val="24"/>
        </w:rPr>
      </w:pPr>
      <w:hyperlink r:id="rId6" w:history="1"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Thermal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electrons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in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an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ultra-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relativistic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shock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shape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the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optical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afterglow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of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GRB </w:t>
        </w:r>
        <w:proofErr w:type="gram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250702F</w:t>
        </w:r>
        <w:proofErr w:type="gram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Astronomy &amp; </w:t>
        </w:r>
        <w:proofErr w:type="spellStart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>Astrophysics</w:t>
        </w:r>
        <w:proofErr w:type="spellEnd"/>
        <w:r w:rsidR="00AF3BE3" w:rsidRPr="00AF3BE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(A&amp;A)</w:t>
        </w:r>
      </w:hyperlink>
    </w:p>
    <w:p w:rsidR="002B736D" w:rsidRDefault="002B736D" w:rsidP="002B736D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5D4CF81B" wp14:editId="6CD71805">
            <wp:extent cx="3900634" cy="39576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1757" t="-1094"/>
                    <a:stretch>
                      <a:fillRect/>
                    </a:stretch>
                  </pic:blipFill>
                  <pic:spPr>
                    <a:xfrm>
                      <a:off x="0" y="0"/>
                      <a:ext cx="3900634" cy="3957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64AE" w:rsidRDefault="00206C79" w:rsidP="002B736D">
      <w:pPr>
        <w:jc w:val="center"/>
        <w:rPr>
          <w:rFonts w:ascii="Times New Roman" w:hAnsi="Times New Roman"/>
          <w:i/>
          <w:sz w:val="24"/>
          <w:szCs w:val="24"/>
        </w:rPr>
      </w:pPr>
      <w:r w:rsidRPr="00AA64AE">
        <w:rPr>
          <w:rFonts w:ascii="Times New Roman" w:hAnsi="Times New Roman"/>
          <w:i/>
          <w:sz w:val="24"/>
          <w:szCs w:val="24"/>
        </w:rPr>
        <w:t xml:space="preserve">Světelná křivka </w:t>
      </w:r>
      <w:r w:rsidR="00AA64AE" w:rsidRPr="00AA64AE">
        <w:rPr>
          <w:rFonts w:ascii="Times New Roman" w:hAnsi="Times New Roman"/>
          <w:i/>
          <w:sz w:val="24"/>
          <w:szCs w:val="24"/>
        </w:rPr>
        <w:t>pozorovaného optického dosvitu</w:t>
      </w:r>
    </w:p>
    <w:p w:rsidR="00AA64AE" w:rsidRDefault="00AA64AE" w:rsidP="00AA64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C81F16" wp14:editId="775D7B1C">
            <wp:extent cx="2363274" cy="236327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b-mark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111" cy="238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AE" w:rsidRPr="00AA64AE" w:rsidRDefault="00AA64AE" w:rsidP="00AA64AE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Červenými čarami </w:t>
      </w:r>
      <w:r w:rsidR="00A02130">
        <w:rPr>
          <w:rFonts w:ascii="Times New Roman" w:hAnsi="Times New Roman"/>
          <w:i/>
          <w:sz w:val="24"/>
          <w:szCs w:val="24"/>
        </w:rPr>
        <w:t xml:space="preserve">je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v</w:t>
      </w:r>
      <w:r w:rsidRPr="00AA64AE">
        <w:rPr>
          <w:rFonts w:ascii="Times New Roman" w:hAnsi="Times New Roman"/>
          <w:i/>
          <w:sz w:val="24"/>
          <w:szCs w:val="24"/>
        </w:rPr>
        <w:t xml:space="preserve">yznačen optický dosvit záblesku gama </w:t>
      </w:r>
    </w:p>
    <w:p w:rsidR="00EE11C2" w:rsidRDefault="002B736D" w:rsidP="002B736D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 wp14:anchorId="22B34F29" wp14:editId="53F09290">
            <wp:extent cx="3329940" cy="4145280"/>
            <wp:effectExtent l="0" t="0" r="3810" b="762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207" cy="4145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736D" w:rsidRPr="00AA64AE" w:rsidRDefault="00206C79" w:rsidP="002B736D">
      <w:pPr>
        <w:jc w:val="center"/>
        <w:rPr>
          <w:rFonts w:ascii="Times New Roman" w:hAnsi="Times New Roman"/>
          <w:i/>
          <w:sz w:val="24"/>
          <w:szCs w:val="24"/>
        </w:rPr>
      </w:pPr>
      <w:r w:rsidRPr="00AA64AE">
        <w:rPr>
          <w:rFonts w:ascii="Times New Roman" w:hAnsi="Times New Roman"/>
          <w:i/>
          <w:sz w:val="24"/>
          <w:szCs w:val="24"/>
        </w:rPr>
        <w:t>Robotický dalekohled D50 na ondřejovské hvězdárně</w:t>
      </w:r>
    </w:p>
    <w:p w:rsidR="00EE11C2" w:rsidRPr="00AF3BE3" w:rsidRDefault="00EE11C2">
      <w:pPr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5778C8" w:rsidRPr="00AF3BE3" w:rsidRDefault="000B4ABD">
      <w:pPr>
        <w:rPr>
          <w:rFonts w:ascii="Times New Roman" w:hAnsi="Times New Roman"/>
          <w:b/>
          <w:bCs/>
          <w:sz w:val="24"/>
          <w:szCs w:val="24"/>
        </w:rPr>
      </w:pPr>
      <w:r w:rsidRPr="00AF3BE3">
        <w:rPr>
          <w:rStyle w:val="Siln"/>
          <w:rFonts w:ascii="Times New Roman" w:hAnsi="Times New Roman"/>
          <w:sz w:val="24"/>
          <w:szCs w:val="24"/>
        </w:rPr>
        <w:t>Kontakty:</w:t>
      </w:r>
    </w:p>
    <w:p w:rsidR="005778C8" w:rsidRPr="00AF3BE3" w:rsidRDefault="00EE11C2">
      <w:pPr>
        <w:rPr>
          <w:rStyle w:val="Hypertextovodkaz"/>
          <w:rFonts w:ascii="Times New Roman" w:hAnsi="Times New Roman"/>
          <w:color w:val="auto"/>
          <w:sz w:val="24"/>
          <w:szCs w:val="24"/>
        </w:rPr>
      </w:pPr>
      <w:r>
        <w:rPr>
          <w:rStyle w:val="Siln"/>
          <w:rFonts w:ascii="Times New Roman" w:hAnsi="Times New Roman"/>
          <w:sz w:val="24"/>
          <w:szCs w:val="24"/>
        </w:rPr>
        <w:t>d</w:t>
      </w:r>
      <w:r w:rsidR="000B4ABD" w:rsidRPr="00AF3BE3">
        <w:rPr>
          <w:rStyle w:val="Siln"/>
          <w:rFonts w:ascii="Times New Roman" w:hAnsi="Times New Roman"/>
          <w:sz w:val="24"/>
          <w:szCs w:val="24"/>
        </w:rPr>
        <w:t xml:space="preserve">r. </w:t>
      </w:r>
      <w:r w:rsidR="00AF3BE3">
        <w:rPr>
          <w:rStyle w:val="Siln"/>
          <w:rFonts w:ascii="Times New Roman" w:hAnsi="Times New Roman"/>
          <w:sz w:val="24"/>
          <w:szCs w:val="24"/>
        </w:rPr>
        <w:t>Martin Jelínek</w:t>
      </w:r>
      <w:r w:rsidR="000B4ABD" w:rsidRPr="00AF3BE3">
        <w:rPr>
          <w:rStyle w:val="Siln"/>
          <w:rFonts w:ascii="Times New Roman" w:hAnsi="Times New Roman"/>
          <w:b w:val="0"/>
          <w:sz w:val="24"/>
          <w:szCs w:val="24"/>
        </w:rPr>
        <w:t xml:space="preserve">, </w:t>
      </w:r>
      <w:r w:rsidR="000B4ABD" w:rsidRPr="00AF3BE3">
        <w:rPr>
          <w:rFonts w:ascii="Times New Roman" w:hAnsi="Times New Roman"/>
          <w:sz w:val="24"/>
          <w:szCs w:val="24"/>
        </w:rPr>
        <w:t>Astronomický ústav AV ČR </w:t>
      </w:r>
      <w:r w:rsidR="000B4ABD" w:rsidRPr="00AF3BE3">
        <w:rPr>
          <w:rFonts w:ascii="Times New Roman" w:hAnsi="Times New Roman"/>
          <w:sz w:val="24"/>
          <w:szCs w:val="24"/>
        </w:rPr>
        <w:br/>
      </w:r>
      <w:proofErr w:type="gramStart"/>
      <w:r w:rsidR="000B4ABD" w:rsidRPr="00AF3BE3">
        <w:rPr>
          <w:rFonts w:ascii="Times New Roman" w:hAnsi="Times New Roman"/>
          <w:sz w:val="24"/>
          <w:szCs w:val="24"/>
        </w:rPr>
        <w:t>E-mail</w:t>
      </w:r>
      <w:proofErr w:type="gramEnd"/>
      <w:r w:rsidR="000B4ABD" w:rsidRPr="00AF3BE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AF3BE3" w:rsidRPr="00003D85">
          <w:rPr>
            <w:rStyle w:val="Hypertextovodkaz"/>
            <w:rFonts w:ascii="Times New Roman" w:hAnsi="Times New Roman"/>
            <w:sz w:val="24"/>
            <w:szCs w:val="24"/>
          </w:rPr>
          <w:t>martin.jelinek@asu.cas.cz</w:t>
        </w:r>
      </w:hyperlink>
    </w:p>
    <w:p w:rsidR="005778C8" w:rsidRPr="00AF3BE3" w:rsidRDefault="000B4ABD">
      <w:pPr>
        <w:spacing w:line="240" w:lineRule="auto"/>
        <w:rPr>
          <w:rStyle w:val="Zdraznn"/>
          <w:rFonts w:ascii="Times New Roman" w:hAnsi="Times New Roman"/>
          <w:i w:val="0"/>
          <w:sz w:val="24"/>
          <w:szCs w:val="24"/>
        </w:rPr>
      </w:pPr>
      <w:r w:rsidRPr="00AF3BE3">
        <w:rPr>
          <w:rStyle w:val="Siln"/>
          <w:rFonts w:ascii="Times New Roman" w:hAnsi="Times New Roman"/>
          <w:sz w:val="24"/>
          <w:szCs w:val="24"/>
        </w:rPr>
        <w:t>Pavel Suchan</w:t>
      </w:r>
      <w:r w:rsidR="00AA64AE">
        <w:rPr>
          <w:rStyle w:val="Siln"/>
          <w:rFonts w:ascii="Times New Roman" w:hAnsi="Times New Roman"/>
          <w:sz w:val="24"/>
          <w:szCs w:val="24"/>
        </w:rPr>
        <w:t xml:space="preserve">, </w:t>
      </w:r>
      <w:r w:rsidRPr="00AF3BE3">
        <w:rPr>
          <w:rFonts w:ascii="Times New Roman" w:hAnsi="Times New Roman"/>
          <w:sz w:val="24"/>
          <w:szCs w:val="24"/>
        </w:rPr>
        <w:t>t</w:t>
      </w:r>
      <w:r w:rsidRPr="00AF3BE3">
        <w:rPr>
          <w:rStyle w:val="Zdraznn"/>
          <w:rFonts w:ascii="Times New Roman" w:hAnsi="Times New Roman"/>
          <w:i w:val="0"/>
          <w:sz w:val="24"/>
          <w:szCs w:val="24"/>
        </w:rPr>
        <w:t>iskový tajemník Astronomického ústavu AV ČR</w:t>
      </w:r>
    </w:p>
    <w:p w:rsidR="005778C8" w:rsidRPr="00AF3BE3" w:rsidRDefault="000B4ABD">
      <w:pPr>
        <w:spacing w:line="240" w:lineRule="auto"/>
        <w:rPr>
          <w:rStyle w:val="Hypertextovodkaz"/>
          <w:rFonts w:ascii="Times New Roman" w:hAnsi="Times New Roman"/>
          <w:color w:val="auto"/>
          <w:sz w:val="24"/>
          <w:szCs w:val="24"/>
        </w:rPr>
      </w:pPr>
      <w:r w:rsidRPr="00AF3BE3">
        <w:rPr>
          <w:rFonts w:ascii="Times New Roman" w:hAnsi="Times New Roman"/>
          <w:sz w:val="24"/>
          <w:szCs w:val="24"/>
        </w:rPr>
        <w:t xml:space="preserve">Tel: 737 322 815, </w:t>
      </w:r>
      <w:proofErr w:type="gramStart"/>
      <w:r w:rsidRPr="00AF3BE3">
        <w:rPr>
          <w:rFonts w:ascii="Times New Roman" w:hAnsi="Times New Roman"/>
          <w:sz w:val="24"/>
          <w:szCs w:val="24"/>
        </w:rPr>
        <w:t>E-mail</w:t>
      </w:r>
      <w:proofErr w:type="gramEnd"/>
      <w:r w:rsidRPr="00AF3BE3">
        <w:rPr>
          <w:rFonts w:ascii="Times New Roman" w:hAnsi="Times New Roman"/>
          <w:sz w:val="24"/>
          <w:szCs w:val="24"/>
        </w:rPr>
        <w:t xml:space="preserve">: </w:t>
      </w:r>
      <w:r w:rsidRPr="00AF3BE3">
        <w:rPr>
          <w:rFonts w:ascii="Times New Roman" w:hAnsi="Times New Roman"/>
          <w:sz w:val="24"/>
          <w:szCs w:val="24"/>
          <w:u w:val="single"/>
        </w:rPr>
        <w:t>pavel.</w:t>
      </w:r>
      <w:hyperlink r:id="rId11" w:history="1">
        <w:r w:rsidRPr="00AF3BE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suchan@asu.cas.cz</w:t>
        </w:r>
      </w:hyperlink>
    </w:p>
    <w:p w:rsidR="007E33A0" w:rsidRDefault="007E33A0">
      <w:pPr>
        <w:spacing w:line="240" w:lineRule="auto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</w:p>
    <w:sectPr w:rsidR="007E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37B" w:rsidRDefault="0005637B">
      <w:pPr>
        <w:spacing w:line="240" w:lineRule="auto"/>
      </w:pPr>
      <w:r>
        <w:separator/>
      </w:r>
    </w:p>
  </w:endnote>
  <w:endnote w:type="continuationSeparator" w:id="0">
    <w:p w:rsidR="0005637B" w:rsidRDefault="00056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Noto Sans CJK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37B" w:rsidRDefault="0005637B">
      <w:pPr>
        <w:spacing w:after="0"/>
      </w:pPr>
      <w:r>
        <w:separator/>
      </w:r>
    </w:p>
  </w:footnote>
  <w:footnote w:type="continuationSeparator" w:id="0">
    <w:p w:rsidR="0005637B" w:rsidRDefault="000563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F3"/>
    <w:rsid w:val="00002AFB"/>
    <w:rsid w:val="00010CA9"/>
    <w:rsid w:val="0005637B"/>
    <w:rsid w:val="000A4538"/>
    <w:rsid w:val="000B4ABD"/>
    <w:rsid w:val="000B58AC"/>
    <w:rsid w:val="000E081B"/>
    <w:rsid w:val="00117B0B"/>
    <w:rsid w:val="0014294C"/>
    <w:rsid w:val="001447F4"/>
    <w:rsid w:val="00183CAF"/>
    <w:rsid w:val="001B4492"/>
    <w:rsid w:val="00206BEE"/>
    <w:rsid w:val="00206C79"/>
    <w:rsid w:val="00234EB2"/>
    <w:rsid w:val="0023666A"/>
    <w:rsid w:val="0027608B"/>
    <w:rsid w:val="002B736D"/>
    <w:rsid w:val="002C7094"/>
    <w:rsid w:val="003205DF"/>
    <w:rsid w:val="003417DA"/>
    <w:rsid w:val="00365238"/>
    <w:rsid w:val="00392DAD"/>
    <w:rsid w:val="003A2FE2"/>
    <w:rsid w:val="003B1756"/>
    <w:rsid w:val="003B26D3"/>
    <w:rsid w:val="00424FA7"/>
    <w:rsid w:val="004614AA"/>
    <w:rsid w:val="004A0FD8"/>
    <w:rsid w:val="004A4DA8"/>
    <w:rsid w:val="004C019E"/>
    <w:rsid w:val="004D3AFC"/>
    <w:rsid w:val="00503C8E"/>
    <w:rsid w:val="00552242"/>
    <w:rsid w:val="00552548"/>
    <w:rsid w:val="005560AC"/>
    <w:rsid w:val="005668BF"/>
    <w:rsid w:val="005700FC"/>
    <w:rsid w:val="005778C8"/>
    <w:rsid w:val="00580E42"/>
    <w:rsid w:val="0059686D"/>
    <w:rsid w:val="005A1035"/>
    <w:rsid w:val="005B4B4B"/>
    <w:rsid w:val="005B6A62"/>
    <w:rsid w:val="005D12F3"/>
    <w:rsid w:val="005F2493"/>
    <w:rsid w:val="006C656B"/>
    <w:rsid w:val="00703C33"/>
    <w:rsid w:val="00705194"/>
    <w:rsid w:val="007146E6"/>
    <w:rsid w:val="00731C68"/>
    <w:rsid w:val="00736C9E"/>
    <w:rsid w:val="0074351B"/>
    <w:rsid w:val="00744A34"/>
    <w:rsid w:val="00750CB3"/>
    <w:rsid w:val="007810A1"/>
    <w:rsid w:val="007C52DE"/>
    <w:rsid w:val="007E33A0"/>
    <w:rsid w:val="007E7F1C"/>
    <w:rsid w:val="008107BA"/>
    <w:rsid w:val="00822554"/>
    <w:rsid w:val="00840D6E"/>
    <w:rsid w:val="0084128A"/>
    <w:rsid w:val="00843F27"/>
    <w:rsid w:val="008A7391"/>
    <w:rsid w:val="008B0528"/>
    <w:rsid w:val="008D2BA0"/>
    <w:rsid w:val="008E7422"/>
    <w:rsid w:val="008F523C"/>
    <w:rsid w:val="008F6672"/>
    <w:rsid w:val="009337D4"/>
    <w:rsid w:val="00970D40"/>
    <w:rsid w:val="00996C0E"/>
    <w:rsid w:val="00A02130"/>
    <w:rsid w:val="00A24B10"/>
    <w:rsid w:val="00A3583C"/>
    <w:rsid w:val="00A47ACD"/>
    <w:rsid w:val="00A55898"/>
    <w:rsid w:val="00A670DC"/>
    <w:rsid w:val="00A94212"/>
    <w:rsid w:val="00AA64AE"/>
    <w:rsid w:val="00AF3BE3"/>
    <w:rsid w:val="00B118CD"/>
    <w:rsid w:val="00B11A58"/>
    <w:rsid w:val="00B9303F"/>
    <w:rsid w:val="00BA3275"/>
    <w:rsid w:val="00BA71F3"/>
    <w:rsid w:val="00BA7527"/>
    <w:rsid w:val="00BB28AE"/>
    <w:rsid w:val="00BD23A3"/>
    <w:rsid w:val="00C147DC"/>
    <w:rsid w:val="00C36BCC"/>
    <w:rsid w:val="00C55E3A"/>
    <w:rsid w:val="00C67F5B"/>
    <w:rsid w:val="00CD192F"/>
    <w:rsid w:val="00D34F60"/>
    <w:rsid w:val="00D35D6A"/>
    <w:rsid w:val="00D55A78"/>
    <w:rsid w:val="00D818B8"/>
    <w:rsid w:val="00D929C6"/>
    <w:rsid w:val="00D949BC"/>
    <w:rsid w:val="00DB339D"/>
    <w:rsid w:val="00DE1CFA"/>
    <w:rsid w:val="00E1400F"/>
    <w:rsid w:val="00E53274"/>
    <w:rsid w:val="00E72756"/>
    <w:rsid w:val="00EA7DC2"/>
    <w:rsid w:val="00EE11C2"/>
    <w:rsid w:val="00F025B8"/>
    <w:rsid w:val="00F06356"/>
    <w:rsid w:val="00F1452B"/>
    <w:rsid w:val="00F60C9A"/>
    <w:rsid w:val="00F745C4"/>
    <w:rsid w:val="00F94C7F"/>
    <w:rsid w:val="00FD661F"/>
    <w:rsid w:val="00FE795F"/>
    <w:rsid w:val="05B320A0"/>
    <w:rsid w:val="2C9A780B"/>
    <w:rsid w:val="5848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2ECA"/>
  <w15:docId w15:val="{5038D447-8953-4C51-B420-0F73631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Zkladntext">
    <w:name w:val="Body Text"/>
    <w:basedOn w:val="Normln"/>
    <w:link w:val="ZkladntextChar"/>
    <w:qFormat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character" w:styleId="Zdraznn">
    <w:name w:val="Emphasis"/>
    <w:uiPriority w:val="20"/>
    <w:qFormat/>
    <w:rPr>
      <w:i/>
      <w:iCs/>
    </w:rPr>
  </w:style>
  <w:style w:type="character" w:styleId="Sledovanodkaz">
    <w:name w:val="FollowedHyperlink"/>
    <w:uiPriority w:val="99"/>
    <w:semiHidden/>
    <w:unhideWhenUsed/>
    <w:qFormat/>
    <w:rPr>
      <w:color w:val="954F72"/>
      <w:u w:val="single"/>
    </w:rPr>
  </w:style>
  <w:style w:type="character" w:styleId="Hypertextovodkaz">
    <w:name w:val="Hyperlink"/>
    <w:uiPriority w:val="99"/>
    <w:unhideWhenUsed/>
    <w:qFormat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TextbublinyChar">
    <w:name w:val="Text bubliny Char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qFormat/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character" w:customStyle="1" w:styleId="Nadpis2Char">
    <w:name w:val="Nadpis 2 Char"/>
    <w:link w:val="Nadpis2"/>
    <w:uiPriority w:val="9"/>
    <w:qFormat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zh-CN" w:bidi="hi-IN"/>
    </w:rPr>
  </w:style>
  <w:style w:type="character" w:customStyle="1" w:styleId="phone">
    <w:name w:val="phone"/>
    <w:basedOn w:val="Standardnpsmoodstavce"/>
    <w:qFormat/>
  </w:style>
  <w:style w:type="character" w:customStyle="1" w:styleId="hoenzb">
    <w:name w:val="hoenzb"/>
    <w:qFormat/>
  </w:style>
  <w:style w:type="character" w:customStyle="1" w:styleId="Nevyeenzmnka1">
    <w:name w:val="Nevyřešená zmínk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nda.org/articles/aa/full_html/2026/06/aa59667-26/aa59667-26.html" TargetMode="External"/><Relationship Id="rId11" Type="http://schemas.openxmlformats.org/officeDocument/2006/relationships/hyperlink" Target="mailto:suchan@astro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rtin.jelinek@asu.cas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Suchan</dc:creator>
  <cp:lastModifiedBy>Pavel Suchan</cp:lastModifiedBy>
  <cp:revision>2</cp:revision>
  <cp:lastPrinted>2017-01-20T17:15:00Z</cp:lastPrinted>
  <dcterms:created xsi:type="dcterms:W3CDTF">2026-06-26T12:32:00Z</dcterms:created>
  <dcterms:modified xsi:type="dcterms:W3CDTF">2026-06-26T12:32:00Z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1033-12.1.0.26372</vt:lpwstr>
  </property>
  <property fmtid="{D5CDD505-2E9C-101B-9397-08002B2CF9AE}" pid="4" name="ICV">
    <vt:lpwstr>99E6A997B5AC4F96AC7849BF3CEC2523_13</vt:lpwstr>
  </property>
  <property fmtid="{D5CDD505-2E9C-101B-9397-08002B2CF9AE}" pid="5" name="KSOTemplateDocerSaveRecord">
    <vt:lpwstr>eyJoZGlkIjoiYTQ2NTE5MWYzZThjMWQ1NDVjYzg1ODllNGY1ZDVhMmIiLCJ1c2VySWQiOiI1MTQ3Mzc1OTYifQ==</vt:lpwstr>
  </property>
</Properties>
</file>