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21863340" w14:textId="1C205D68" w:rsidR="00D0529B" w:rsidRPr="00D0529B" w:rsidRDefault="00D0529B" w:rsidP="00D0529B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D0529B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Vědci z ÚOCHB zdokonalili materiály pro rekonstrukční a plastickou chirurgii</w:t>
      </w:r>
    </w:p>
    <w:p w14:paraId="2CA92750" w14:textId="3468D134" w:rsidR="00B018FA" w:rsidRPr="00B018FA" w:rsidRDefault="00B018FA" w:rsidP="00B018FA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bookmarkEnd w:id="0"/>
    <w:p w14:paraId="2382FC0C" w14:textId="33ED985A" w:rsidR="0093221B" w:rsidRPr="00A95757" w:rsidRDefault="00A95757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Cs/>
          <w:iCs/>
          <w:szCs w:val="20"/>
          <w:lang w:val="cs-CZ"/>
        </w:rPr>
      </w:pPr>
      <w:r w:rsidRPr="00A95757">
        <w:rPr>
          <w:rFonts w:cs="Arial"/>
          <w:bCs/>
          <w:iCs/>
          <w:szCs w:val="20"/>
          <w:lang w:val="cs-CZ"/>
        </w:rPr>
        <w:t>14. 2. 2024</w:t>
      </w:r>
    </w:p>
    <w:p w14:paraId="5E53C614" w14:textId="79CD77C3" w:rsidR="00B018FA" w:rsidRDefault="00D0529B" w:rsidP="00D0529B">
      <w:pPr>
        <w:pStyle w:val="Standard"/>
        <w:widowControl w:val="0"/>
        <w:spacing w:before="120" w:after="120" w:line="276" w:lineRule="auto"/>
        <w:rPr>
          <w:rFonts w:cs="Arial"/>
          <w:b/>
          <w:iCs/>
          <w:szCs w:val="20"/>
          <w:lang w:val="cs-CZ"/>
        </w:rPr>
      </w:pPr>
      <w:bookmarkStart w:id="1" w:name="_Hlk152149017"/>
      <w:r w:rsidRPr="00D0529B">
        <w:rPr>
          <w:rFonts w:cs="Arial"/>
          <w:b/>
          <w:iCs/>
          <w:szCs w:val="20"/>
          <w:lang w:val="cs-CZ"/>
        </w:rPr>
        <w:t xml:space="preserve">Vědci z ÚOCHB AV ČR ve spolupráci s univerzitou v belgickém </w:t>
      </w:r>
      <w:proofErr w:type="spellStart"/>
      <w:r w:rsidRPr="00D0529B">
        <w:rPr>
          <w:rFonts w:cs="Arial"/>
          <w:b/>
          <w:iCs/>
          <w:szCs w:val="20"/>
          <w:lang w:val="cs-CZ"/>
        </w:rPr>
        <w:t>Gentu</w:t>
      </w:r>
      <w:proofErr w:type="spellEnd"/>
      <w:r w:rsidRPr="00D0529B">
        <w:rPr>
          <w:rFonts w:cs="Arial"/>
          <w:b/>
          <w:iCs/>
          <w:szCs w:val="20"/>
          <w:lang w:val="cs-CZ"/>
        </w:rPr>
        <w:t xml:space="preserve"> vylepšují vlastnosti materiálů na bázi želatiny a rozšiřují možnosti jejich využití hlavně v medicíně. V článku, který </w:t>
      </w:r>
      <w:r w:rsidR="00E842F7">
        <w:rPr>
          <w:rFonts w:cs="Arial"/>
          <w:b/>
          <w:iCs/>
          <w:szCs w:val="20"/>
          <w:lang w:val="cs-CZ"/>
        </w:rPr>
        <w:t xml:space="preserve">vydává </w:t>
      </w:r>
      <w:r w:rsidRPr="00D0529B">
        <w:rPr>
          <w:rFonts w:cs="Arial"/>
          <w:b/>
          <w:iCs/>
          <w:szCs w:val="20"/>
          <w:lang w:val="cs-CZ"/>
        </w:rPr>
        <w:t xml:space="preserve">vědecký časopis </w:t>
      </w:r>
      <w:r w:rsidR="00B2579F">
        <w:rPr>
          <w:rFonts w:cs="Arial"/>
          <w:b/>
          <w:iCs/>
          <w:szCs w:val="20"/>
          <w:lang w:val="cs-CZ"/>
        </w:rPr>
        <w:t xml:space="preserve">ACS </w:t>
      </w:r>
      <w:proofErr w:type="spellStart"/>
      <w:r w:rsidRPr="00D0529B">
        <w:rPr>
          <w:rFonts w:cs="Arial"/>
          <w:b/>
          <w:iCs/>
          <w:szCs w:val="20"/>
          <w:lang w:val="cs-CZ"/>
        </w:rPr>
        <w:t>Applied</w:t>
      </w:r>
      <w:proofErr w:type="spellEnd"/>
      <w:r w:rsidRPr="00D0529B">
        <w:rPr>
          <w:rFonts w:cs="Arial"/>
          <w:b/>
          <w:iCs/>
          <w:szCs w:val="20"/>
          <w:lang w:val="cs-CZ"/>
        </w:rPr>
        <w:t xml:space="preserve"> </w:t>
      </w:r>
      <w:proofErr w:type="spellStart"/>
      <w:r w:rsidRPr="00D0529B">
        <w:rPr>
          <w:rFonts w:cs="Arial"/>
          <w:b/>
          <w:iCs/>
          <w:szCs w:val="20"/>
          <w:lang w:val="cs-CZ"/>
        </w:rPr>
        <w:t>Engineering</w:t>
      </w:r>
      <w:proofErr w:type="spellEnd"/>
      <w:r w:rsidRPr="00D0529B">
        <w:rPr>
          <w:rFonts w:cs="Arial"/>
          <w:b/>
          <w:iCs/>
          <w:szCs w:val="20"/>
          <w:lang w:val="cs-CZ"/>
        </w:rPr>
        <w:t xml:space="preserve"> </w:t>
      </w:r>
      <w:proofErr w:type="spellStart"/>
      <w:r w:rsidRPr="00D0529B">
        <w:rPr>
          <w:rFonts w:cs="Arial"/>
          <w:b/>
          <w:iCs/>
          <w:szCs w:val="20"/>
          <w:lang w:val="cs-CZ"/>
        </w:rPr>
        <w:t>Materials</w:t>
      </w:r>
      <w:proofErr w:type="spellEnd"/>
      <w:r w:rsidR="00B2579F">
        <w:rPr>
          <w:rFonts w:cs="Arial"/>
          <w:b/>
          <w:iCs/>
          <w:szCs w:val="20"/>
          <w:lang w:val="cs-CZ"/>
        </w:rPr>
        <w:t>,</w:t>
      </w:r>
      <w:r w:rsidRPr="00D0529B">
        <w:rPr>
          <w:rFonts w:cs="Arial"/>
          <w:b/>
          <w:iCs/>
          <w:szCs w:val="20"/>
          <w:lang w:val="cs-CZ"/>
        </w:rPr>
        <w:t xml:space="preserve"> výzkumníci představili </w:t>
      </w:r>
      <w:proofErr w:type="gramStart"/>
      <w:r w:rsidRPr="00D0529B">
        <w:rPr>
          <w:rFonts w:cs="Arial"/>
          <w:b/>
          <w:iCs/>
          <w:szCs w:val="20"/>
          <w:lang w:val="cs-CZ"/>
        </w:rPr>
        <w:t>3D</w:t>
      </w:r>
      <w:proofErr w:type="gramEnd"/>
      <w:r w:rsidRPr="00D0529B">
        <w:rPr>
          <w:rFonts w:cs="Arial"/>
          <w:b/>
          <w:iCs/>
          <w:szCs w:val="20"/>
          <w:lang w:val="cs-CZ"/>
        </w:rPr>
        <w:t xml:space="preserve"> tisknutelné materiály, které lze jednoduše sledovat na rentgenu nebo počítačové tomografii (CT). </w:t>
      </w:r>
      <w:bookmarkStart w:id="2" w:name="_Hlk152063791"/>
      <w:bookmarkEnd w:id="1"/>
    </w:p>
    <w:p w14:paraId="315AE3E2" w14:textId="2D582D0F" w:rsidR="00D0529B" w:rsidRPr="00D0529B" w:rsidRDefault="00D0529B" w:rsidP="00D0529B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D0529B">
        <w:rPr>
          <w:rFonts w:cs="Arial"/>
          <w:iCs/>
          <w:szCs w:val="20"/>
          <w:lang w:val="cs-CZ"/>
        </w:rPr>
        <w:t xml:space="preserve">Materiály na bázi želatiny jsou žhavé téma výzkumu posledních 10 let, protože jsou snadno vyrobitelné, netoxické, biologicky </w:t>
      </w:r>
      <w:proofErr w:type="gramStart"/>
      <w:r w:rsidRPr="00D0529B">
        <w:rPr>
          <w:rFonts w:cs="Arial"/>
          <w:iCs/>
          <w:szCs w:val="20"/>
          <w:lang w:val="cs-CZ"/>
        </w:rPr>
        <w:t>odbouratelné</w:t>
      </w:r>
      <w:proofErr w:type="gramEnd"/>
      <w:r w:rsidRPr="00D0529B">
        <w:rPr>
          <w:rFonts w:cs="Arial"/>
          <w:iCs/>
          <w:szCs w:val="20"/>
          <w:lang w:val="cs-CZ"/>
        </w:rPr>
        <w:t xml:space="preserve"> a hlavně podporují růst buněk. Proto je používá v první řadě plastická a rekonstrukční chirurgie. Když lékaři vloží takové implantáty do ran, tělo se jich postupně zbavuje a nahrazuje svou vlastní tkání. Zmíněné látky tak urychlují hojení, a dokonce umožňují jejich úplné opětovné vytvarování, například při rekonstrukci prsou po mastektomii. Materiály lze navíc tisknout na 3D tiskárně přímo na míru každému pacientovi. </w:t>
      </w:r>
    </w:p>
    <w:p w14:paraId="06E51ACA" w14:textId="6287D9C0" w:rsidR="00D0529B" w:rsidRPr="00D0529B" w:rsidRDefault="00D0529B" w:rsidP="00D0529B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D0529B">
        <w:rPr>
          <w:rFonts w:cs="Arial"/>
          <w:iCs/>
          <w:szCs w:val="20"/>
          <w:lang w:val="cs-CZ"/>
        </w:rPr>
        <w:t>Dosud bylo ale nutné vypořád</w:t>
      </w:r>
      <w:r w:rsidR="002549B8">
        <w:rPr>
          <w:rFonts w:cs="Arial"/>
          <w:iCs/>
          <w:szCs w:val="20"/>
          <w:lang w:val="cs-CZ"/>
        </w:rPr>
        <w:t>at</w:t>
      </w:r>
      <w:r w:rsidRPr="00D0529B">
        <w:rPr>
          <w:rFonts w:cs="Arial"/>
          <w:iCs/>
          <w:szCs w:val="20"/>
          <w:lang w:val="cs-CZ"/>
        </w:rPr>
        <w:t xml:space="preserve"> se se slabinou, kterou pomáhá odstranit právě výzkum z ÚOCHB. A sice, že bylo jen velmi obtížné sledovat odbourávání těchto materiálů v těle pomocí běžných zobrazovacích metod. Rentgen-kontrastní složka, kterou badatelé do materiálů nově dodali, umožňuje pozorovat, jak rychle implantát v průběhu času ubývá a jestli není poškozený. </w:t>
      </w:r>
    </w:p>
    <w:p w14:paraId="1E416803" w14:textId="6E7F9E74" w:rsidR="00D0529B" w:rsidRPr="00D0529B" w:rsidRDefault="00D0529B" w:rsidP="00D0529B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D0529B">
        <w:rPr>
          <w:rFonts w:cs="Arial"/>
          <w:iCs/>
          <w:szCs w:val="20"/>
          <w:lang w:val="cs-CZ"/>
        </w:rPr>
        <w:t xml:space="preserve">Za výzkumem stojí v ÚOCHB Ondřej </w:t>
      </w:r>
      <w:proofErr w:type="spellStart"/>
      <w:r w:rsidRPr="00D0529B">
        <w:rPr>
          <w:rFonts w:cs="Arial"/>
          <w:iCs/>
          <w:szCs w:val="20"/>
          <w:lang w:val="cs-CZ"/>
        </w:rPr>
        <w:t>Groborz</w:t>
      </w:r>
      <w:proofErr w:type="spellEnd"/>
      <w:r w:rsidRPr="00D0529B">
        <w:rPr>
          <w:rFonts w:cs="Arial"/>
          <w:iCs/>
          <w:szCs w:val="20"/>
          <w:lang w:val="cs-CZ"/>
        </w:rPr>
        <w:t xml:space="preserve"> z vědeckého týmu Tomáše Slaniny a vysvětluje: </w:t>
      </w:r>
      <w:r w:rsidRPr="00D0529B">
        <w:rPr>
          <w:rFonts w:cs="Arial"/>
          <w:i/>
          <w:iCs/>
          <w:szCs w:val="20"/>
          <w:lang w:val="cs-CZ"/>
        </w:rPr>
        <w:t>„Na toto téma vzniká celá série odborných textů. První z </w:t>
      </w:r>
      <w:hyperlink r:id="rId7" w:history="1">
        <w:r w:rsidRPr="00D0529B">
          <w:rPr>
            <w:rStyle w:val="Hypertextovodkaz"/>
            <w:rFonts w:cs="Arial"/>
            <w:i/>
            <w:iCs/>
            <w:szCs w:val="20"/>
            <w:lang w:val="cs-CZ"/>
          </w:rPr>
          <w:t>nich</w:t>
        </w:r>
      </w:hyperlink>
      <w:r w:rsidRPr="00D0529B">
        <w:rPr>
          <w:rFonts w:cs="Arial"/>
          <w:i/>
          <w:iCs/>
          <w:szCs w:val="20"/>
          <w:lang w:val="cs-CZ"/>
        </w:rPr>
        <w:t xml:space="preserve"> představuje materiál na bázi želatiny, který je možné sledovat pomocí magnetické rezonance. Ve druhém článku, </w:t>
      </w:r>
      <w:r w:rsidR="00E842F7">
        <w:rPr>
          <w:rFonts w:cs="Arial"/>
          <w:i/>
          <w:iCs/>
          <w:szCs w:val="20"/>
          <w:lang w:val="cs-CZ"/>
        </w:rPr>
        <w:t xml:space="preserve">který zaujal </w:t>
      </w:r>
      <w:r w:rsidR="00E842F7" w:rsidRPr="00D0529B">
        <w:rPr>
          <w:rFonts w:cs="Arial"/>
          <w:i/>
          <w:iCs/>
          <w:szCs w:val="20"/>
          <w:lang w:val="cs-CZ"/>
        </w:rPr>
        <w:t>časopis</w:t>
      </w:r>
      <w:r w:rsidRPr="00D0529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="00B2579F" w:rsidRPr="00B2579F">
        <w:rPr>
          <w:rFonts w:cs="Arial"/>
          <w:i/>
          <w:iCs/>
          <w:szCs w:val="20"/>
          <w:lang w:val="cs-CZ"/>
        </w:rPr>
        <w:t>Applied</w:t>
      </w:r>
      <w:proofErr w:type="spellEnd"/>
      <w:r w:rsidR="00B2579F" w:rsidRPr="00B2579F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="00B2579F" w:rsidRPr="00B2579F">
        <w:rPr>
          <w:rFonts w:cs="Arial"/>
          <w:i/>
          <w:iCs/>
          <w:szCs w:val="20"/>
          <w:lang w:val="cs-CZ"/>
        </w:rPr>
        <w:t>Engineering</w:t>
      </w:r>
      <w:proofErr w:type="spellEnd"/>
      <w:r w:rsidR="00B2579F" w:rsidRPr="00B2579F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="00B2579F" w:rsidRPr="00B2579F">
        <w:rPr>
          <w:rFonts w:cs="Arial"/>
          <w:i/>
          <w:iCs/>
          <w:szCs w:val="20"/>
          <w:lang w:val="cs-CZ"/>
        </w:rPr>
        <w:t>Materials</w:t>
      </w:r>
      <w:proofErr w:type="spellEnd"/>
      <w:r w:rsidRPr="00D0529B">
        <w:rPr>
          <w:rFonts w:cs="Arial"/>
          <w:i/>
          <w:iCs/>
          <w:szCs w:val="20"/>
          <w:lang w:val="cs-CZ"/>
        </w:rPr>
        <w:t>, přidáváme možnosti zobrazení pod rentgenem nebo na CT.</w:t>
      </w:r>
      <w:r w:rsidRPr="00D0529B">
        <w:rPr>
          <w:rFonts w:cs="Arial"/>
          <w:iCs/>
          <w:szCs w:val="20"/>
          <w:lang w:val="cs-CZ"/>
        </w:rPr>
        <w:t>“</w:t>
      </w:r>
    </w:p>
    <w:p w14:paraId="4E401082" w14:textId="629FDFAC" w:rsidR="00D0529B" w:rsidRPr="00D0529B" w:rsidRDefault="00D0529B" w:rsidP="00D0529B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D0529B">
        <w:rPr>
          <w:rFonts w:cs="Arial"/>
          <w:iCs/>
          <w:szCs w:val="20"/>
          <w:lang w:val="cs-CZ"/>
        </w:rPr>
        <w:t>Na základě získaných dat lze navrhnout implantáty tak, aby se v těle odbourávaly co nejefektivněji. Tkáně v lidském těle totiž rostou různě rychle</w:t>
      </w:r>
      <w:r w:rsidR="008C0CF2">
        <w:rPr>
          <w:rFonts w:cs="Arial"/>
          <w:iCs/>
          <w:szCs w:val="20"/>
          <w:lang w:val="cs-CZ"/>
        </w:rPr>
        <w:t>, čemuž</w:t>
      </w:r>
      <w:r w:rsidRPr="00D0529B">
        <w:rPr>
          <w:rFonts w:cs="Arial"/>
          <w:iCs/>
          <w:szCs w:val="20"/>
          <w:lang w:val="cs-CZ"/>
        </w:rPr>
        <w:t xml:space="preserve"> je třeba přizpůsobit vlastnosti implantátu. Cílem je, aby se rozpouštěl stejnou rychlostí, jakou roste zdravá tkáň. </w:t>
      </w:r>
    </w:p>
    <w:p w14:paraId="0F1252D0" w14:textId="77777777" w:rsidR="00871EF4" w:rsidRDefault="00D0529B" w:rsidP="00144C5A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D0529B">
        <w:rPr>
          <w:rFonts w:cs="Arial"/>
          <w:iCs/>
          <w:szCs w:val="20"/>
          <w:lang w:val="cs-CZ"/>
        </w:rPr>
        <w:t xml:space="preserve">Na výzkumu spolupracuje český vědec se </w:t>
      </w:r>
      <w:r w:rsidR="00B2579F">
        <w:rPr>
          <w:rFonts w:cs="Arial"/>
          <w:iCs/>
          <w:szCs w:val="20"/>
          <w:lang w:val="cs-CZ"/>
        </w:rPr>
        <w:t>s</w:t>
      </w:r>
      <w:r w:rsidRPr="00D0529B">
        <w:rPr>
          <w:rFonts w:cs="Arial"/>
          <w:iCs/>
          <w:szCs w:val="20"/>
          <w:lang w:val="cs-CZ"/>
        </w:rPr>
        <w:t xml:space="preserve">kupinou polymerní chemie a biomateriálů z univerzity v belgickém </w:t>
      </w:r>
      <w:proofErr w:type="spellStart"/>
      <w:r w:rsidRPr="00D0529B">
        <w:rPr>
          <w:rFonts w:cs="Arial"/>
          <w:iCs/>
          <w:szCs w:val="20"/>
          <w:lang w:val="cs-CZ"/>
        </w:rPr>
        <w:t>Gentu</w:t>
      </w:r>
      <w:proofErr w:type="spellEnd"/>
      <w:r w:rsidRPr="00D0529B">
        <w:rPr>
          <w:rFonts w:cs="Arial"/>
          <w:iCs/>
          <w:szCs w:val="20"/>
          <w:lang w:val="cs-CZ"/>
        </w:rPr>
        <w:t>. Belgie patří v medicínském využití implantátů s touto strukturou mezi průkopníky. Spolupráce mezi ÚOCHB a </w:t>
      </w:r>
      <w:proofErr w:type="spellStart"/>
      <w:r w:rsidRPr="00D0529B">
        <w:rPr>
          <w:rFonts w:cs="Arial"/>
          <w:iCs/>
          <w:szCs w:val="20"/>
          <w:lang w:val="cs-CZ"/>
        </w:rPr>
        <w:t>Gentem</w:t>
      </w:r>
      <w:proofErr w:type="spellEnd"/>
      <w:r w:rsidRPr="00D0529B">
        <w:rPr>
          <w:rFonts w:cs="Arial"/>
          <w:iCs/>
          <w:szCs w:val="20"/>
          <w:lang w:val="cs-CZ"/>
        </w:rPr>
        <w:t xml:space="preserve"> má navíc potenciál přesáhnout i do komerční sféry. Obě pracoviště už podala patentovou přihlášku k užití popisovaných materiálů v plastické a rekonstrukční chirurgii.</w:t>
      </w:r>
      <w:bookmarkStart w:id="3" w:name="_Hlk158714814"/>
      <w:bookmarkEnd w:id="2"/>
    </w:p>
    <w:p w14:paraId="4B71F531" w14:textId="020EDBC9" w:rsidR="00FD5077" w:rsidRPr="00B018FA" w:rsidRDefault="00FD5077" w:rsidP="00144C5A">
      <w:pPr>
        <w:pStyle w:val="Standard"/>
        <w:widowControl w:val="0"/>
        <w:spacing w:before="120" w:after="120" w:line="276" w:lineRule="auto"/>
        <w:rPr>
          <w:rFonts w:cs="Arial"/>
          <w:szCs w:val="20"/>
          <w:lang w:val="cs-CZ"/>
        </w:rPr>
      </w:pPr>
      <w:r>
        <w:rPr>
          <w:rFonts w:cs="Arial"/>
          <w:b/>
          <w:bCs/>
          <w:iCs/>
          <w:szCs w:val="20"/>
          <w:lang w:val="cs-CZ"/>
        </w:rPr>
        <w:t>Původní článek:</w:t>
      </w:r>
      <w:r w:rsidR="0055482C">
        <w:t xml:space="preserve"> </w:t>
      </w:r>
      <w:proofErr w:type="spellStart"/>
      <w:r w:rsidR="0055482C">
        <w:t>Groborz</w:t>
      </w:r>
      <w:proofErr w:type="spellEnd"/>
      <w:r w:rsidR="009A5BC0">
        <w:t>, O.</w:t>
      </w:r>
      <w:r w:rsidR="0055482C">
        <w:t xml:space="preserve">, </w:t>
      </w:r>
      <w:proofErr w:type="spellStart"/>
      <w:r w:rsidR="0055482C">
        <w:t>Kolouchová</w:t>
      </w:r>
      <w:proofErr w:type="spellEnd"/>
      <w:r w:rsidR="0055482C">
        <w:t xml:space="preserve">, </w:t>
      </w:r>
      <w:r w:rsidR="009A5BC0">
        <w:t xml:space="preserve">K., </w:t>
      </w:r>
      <w:r w:rsidR="0055482C">
        <w:t>Parmentier</w:t>
      </w:r>
      <w:r w:rsidR="009A5BC0">
        <w:t>, L.</w:t>
      </w:r>
      <w:r w:rsidR="0055482C">
        <w:t>, Szabó</w:t>
      </w:r>
      <w:r w:rsidR="009A5BC0">
        <w:t>, A.</w:t>
      </w:r>
      <w:r w:rsidR="0055482C">
        <w:t xml:space="preserve">, </w:t>
      </w:r>
      <w:proofErr w:type="spellStart"/>
      <w:r w:rsidR="0055482C">
        <w:t>Durme</w:t>
      </w:r>
      <w:proofErr w:type="spellEnd"/>
      <w:r w:rsidR="009A5BC0">
        <w:t>, B. V.</w:t>
      </w:r>
      <w:r w:rsidR="0055482C">
        <w:t>, Dunlop</w:t>
      </w:r>
      <w:r w:rsidR="009A5BC0">
        <w:t>, D.</w:t>
      </w:r>
      <w:r w:rsidR="0055482C">
        <w:t>, Slanina</w:t>
      </w:r>
      <w:r w:rsidR="009A5BC0">
        <w:t>, T.</w:t>
      </w:r>
      <w:r w:rsidR="0055482C">
        <w:t xml:space="preserve">, </w:t>
      </w:r>
      <w:proofErr w:type="spellStart"/>
      <w:r w:rsidR="0055482C">
        <w:t>Vlierberghe</w:t>
      </w:r>
      <w:proofErr w:type="spellEnd"/>
      <w:r w:rsidR="009A5BC0">
        <w:t xml:space="preserve">, S. V. </w:t>
      </w:r>
      <w:r w:rsidR="009A5BC0" w:rsidRPr="009A5BC0">
        <w:t>(in press)</w:t>
      </w:r>
      <w:r w:rsidR="009A5BC0">
        <w:t>.</w:t>
      </w:r>
      <w:r w:rsidR="0055482C" w:rsidRPr="009A5BC0">
        <w:t xml:space="preserve"> </w:t>
      </w:r>
      <w:r w:rsidR="009A5BC0" w:rsidRPr="00871EF4">
        <w:t xml:space="preserve">Photo-printable radiopaque hydrogels for regenerative medicine. </w:t>
      </w:r>
      <w:r w:rsidR="0055482C" w:rsidRPr="00871EF4">
        <w:rPr>
          <w:i/>
          <w:iCs/>
        </w:rPr>
        <w:t>ACS Applied Engineering Materials</w:t>
      </w:r>
      <w:r w:rsidR="0055482C">
        <w:t xml:space="preserve"> 2024</w:t>
      </w:r>
      <w:r w:rsidR="009A5BC0">
        <w:t>.</w:t>
      </w:r>
      <w:r w:rsidR="0055482C">
        <w:t xml:space="preserve"> </w:t>
      </w:r>
      <w:hyperlink r:id="rId8" w:history="1">
        <w:r w:rsidR="009A5BC0" w:rsidRPr="009E2265">
          <w:rPr>
            <w:rStyle w:val="Hypertextovodkaz"/>
          </w:rPr>
          <w:t>https://doi.org/10.1021/acsaenm.3c00533</w:t>
        </w:r>
      </w:hyperlink>
      <w:r w:rsidR="009A5BC0">
        <w:t xml:space="preserve"> </w:t>
      </w:r>
    </w:p>
    <w:bookmarkEnd w:id="3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9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10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273F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1F82" w14:textId="77777777" w:rsidR="001273F0" w:rsidRDefault="001273F0" w:rsidP="00AF7F5A">
      <w:r>
        <w:separator/>
      </w:r>
    </w:p>
  </w:endnote>
  <w:endnote w:type="continuationSeparator" w:id="0">
    <w:p w14:paraId="24B04A38" w14:textId="77777777" w:rsidR="001273F0" w:rsidRDefault="001273F0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7BF8" w14:textId="77777777" w:rsidR="001273F0" w:rsidRDefault="001273F0" w:rsidP="00AF7F5A">
      <w:r>
        <w:separator/>
      </w:r>
    </w:p>
  </w:footnote>
  <w:footnote w:type="continuationSeparator" w:id="0">
    <w:p w14:paraId="30DF55B2" w14:textId="77777777" w:rsidR="001273F0" w:rsidRDefault="001273F0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273F0"/>
    <w:rsid w:val="001405DF"/>
    <w:rsid w:val="00144C5A"/>
    <w:rsid w:val="001570BC"/>
    <w:rsid w:val="00171030"/>
    <w:rsid w:val="001A60D0"/>
    <w:rsid w:val="001C020E"/>
    <w:rsid w:val="001D113F"/>
    <w:rsid w:val="001E2462"/>
    <w:rsid w:val="00211044"/>
    <w:rsid w:val="00216214"/>
    <w:rsid w:val="00231BF4"/>
    <w:rsid w:val="00234FB2"/>
    <w:rsid w:val="00234FBA"/>
    <w:rsid w:val="00240586"/>
    <w:rsid w:val="002549B8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3415"/>
    <w:rsid w:val="00535FBD"/>
    <w:rsid w:val="00550A33"/>
    <w:rsid w:val="0055482C"/>
    <w:rsid w:val="00557F20"/>
    <w:rsid w:val="00561DC3"/>
    <w:rsid w:val="00566DB2"/>
    <w:rsid w:val="005A1E70"/>
    <w:rsid w:val="005A632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C2BC2"/>
    <w:rsid w:val="006C5E16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7F6F49"/>
    <w:rsid w:val="00814C13"/>
    <w:rsid w:val="008256E8"/>
    <w:rsid w:val="00830C8E"/>
    <w:rsid w:val="00860146"/>
    <w:rsid w:val="00867BDA"/>
    <w:rsid w:val="00871EF4"/>
    <w:rsid w:val="0087543F"/>
    <w:rsid w:val="00876B8A"/>
    <w:rsid w:val="008930DD"/>
    <w:rsid w:val="008C0CF2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5BC0"/>
    <w:rsid w:val="009A605E"/>
    <w:rsid w:val="009C0D5E"/>
    <w:rsid w:val="009C122C"/>
    <w:rsid w:val="009C6015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95757"/>
    <w:rsid w:val="00AB6B11"/>
    <w:rsid w:val="00AC200E"/>
    <w:rsid w:val="00AD6D81"/>
    <w:rsid w:val="00AD7A34"/>
    <w:rsid w:val="00AF744A"/>
    <w:rsid w:val="00AF7F5A"/>
    <w:rsid w:val="00B018FA"/>
    <w:rsid w:val="00B24E0C"/>
    <w:rsid w:val="00B24F50"/>
    <w:rsid w:val="00B2579F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32BB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2AF0"/>
    <w:rsid w:val="00CD7289"/>
    <w:rsid w:val="00CE27F3"/>
    <w:rsid w:val="00CF0DE7"/>
    <w:rsid w:val="00CF4426"/>
    <w:rsid w:val="00D0529B"/>
    <w:rsid w:val="00D1249C"/>
    <w:rsid w:val="00D124AC"/>
    <w:rsid w:val="00D1568D"/>
    <w:rsid w:val="00D21D82"/>
    <w:rsid w:val="00D272B9"/>
    <w:rsid w:val="00D27F16"/>
    <w:rsid w:val="00D40BC4"/>
    <w:rsid w:val="00D60433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42F7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A22B8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052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29B"/>
    <w:pPr>
      <w:spacing w:after="160"/>
    </w:pPr>
    <w:rPr>
      <w:rFonts w:asciiTheme="minorHAnsi" w:hAnsiTheme="minorHAnsi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29B"/>
    <w:rPr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95757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2579F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79F"/>
    <w:pPr>
      <w:spacing w:after="0"/>
    </w:pPr>
    <w:rPr>
      <w:rFonts w:ascii="Arial" w:hAnsi="Arial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79F"/>
    <w:rPr>
      <w:rFonts w:ascii="Arial" w:hAnsi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aenm.3c0053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ubs.acs.org/doi/full/10.1021/acs.chemmater.3c015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eronika.sedlackova@uochb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chb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2906</Characters>
  <Application>Microsoft Office Word</Application>
  <DocSecurity>0</DocSecurity>
  <Lines>54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6</cp:revision>
  <cp:lastPrinted>2017-08-09T12:51:00Z</cp:lastPrinted>
  <dcterms:created xsi:type="dcterms:W3CDTF">2024-02-13T09:36:00Z</dcterms:created>
  <dcterms:modified xsi:type="dcterms:W3CDTF">2024-02-14T08:21:00Z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