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09" w:rsidRPr="003E3609" w:rsidRDefault="003E3609" w:rsidP="003E3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9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:rsidR="003E3609" w:rsidRPr="003E3609" w:rsidRDefault="00B27753" w:rsidP="003E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E3609" w:rsidRPr="003E3609">
        <w:rPr>
          <w:rFonts w:ascii="Times New Roman" w:hAnsi="Times New Roman" w:cs="Times New Roman"/>
          <w:sz w:val="24"/>
          <w:szCs w:val="24"/>
        </w:rPr>
        <w:t>. dubna 2023</w:t>
      </w:r>
    </w:p>
    <w:p w:rsidR="005071CC" w:rsidRPr="0049361D" w:rsidRDefault="005071CC" w:rsidP="005071CC">
      <w:pPr>
        <w:jc w:val="both"/>
        <w:rPr>
          <w:rFonts w:ascii="Arial" w:hAnsi="Arial" w:cs="Arial"/>
          <w:b/>
        </w:rPr>
      </w:pPr>
      <w:r w:rsidRPr="0049361D">
        <w:rPr>
          <w:rFonts w:ascii="Arial" w:hAnsi="Arial" w:cs="Arial"/>
          <w:b/>
        </w:rPr>
        <w:t>Čeští vědci studují pohoří na Tchaj-wanu, výsledky budou moci využít i v Česku</w:t>
      </w:r>
    </w:p>
    <w:p w:rsidR="005071CC" w:rsidRPr="00D16FCC" w:rsidRDefault="005071CC" w:rsidP="005071CC">
      <w:pPr>
        <w:jc w:val="both"/>
        <w:rPr>
          <w:rFonts w:ascii="Arial" w:hAnsi="Arial" w:cs="Arial"/>
          <w:b/>
          <w:color w:val="000000" w:themeColor="text1"/>
        </w:rPr>
      </w:pPr>
      <w:r w:rsidRPr="00D16FCC">
        <w:rPr>
          <w:rFonts w:ascii="Arial" w:hAnsi="Arial" w:cs="Arial"/>
          <w:b/>
        </w:rPr>
        <w:t xml:space="preserve">Čeští vědci již druhým rokem studují seismicky a tektonicky velmi aktivní pohoří na Tchaj-wanu, kde v současné době probíhají procesy velmi podobné těm, jež v geologické minulosti vedly ke vzniku pohoří Vnějších Západních Karpat na východě České republiky. </w:t>
      </w:r>
      <w:r w:rsidRPr="00D16FCC">
        <w:rPr>
          <w:rFonts w:ascii="Arial" w:hAnsi="Arial" w:cs="Arial"/>
          <w:b/>
          <w:color w:val="000000" w:themeColor="text1"/>
        </w:rPr>
        <w:t xml:space="preserve">Výsledky získané na tomto vzdáleném tropickém ostrově tedy bude možné v budoucnu využít i v Česku. </w:t>
      </w:r>
    </w:p>
    <w:p w:rsidR="00E366A1" w:rsidRPr="00D16FCC" w:rsidRDefault="005071CC" w:rsidP="005071CC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t>Střední a východní část ostrova Tchaj-wan tvoří až 3 952 m vysoké hory, táhnoucí se převážně v severojižním směru. Vznikají od </w:t>
      </w:r>
      <w:hyperlink r:id="rId8" w:tooltip="Třetihory" w:history="1">
        <w:r w:rsidRPr="00D16FCC">
          <w:rPr>
            <w:rStyle w:val="Hypertextovodkaz"/>
            <w:rFonts w:ascii="Arial" w:hAnsi="Arial" w:cs="Arial"/>
            <w:color w:val="000000" w:themeColor="text1"/>
            <w:u w:val="none"/>
          </w:rPr>
          <w:t>třetihor</w:t>
        </w:r>
      </w:hyperlink>
      <w:r w:rsidRPr="00D16FCC">
        <w:rPr>
          <w:rFonts w:ascii="Arial" w:hAnsi="Arial" w:cs="Arial"/>
          <w:color w:val="000000" w:themeColor="text1"/>
        </w:rPr>
        <w:t xml:space="preserve"> </w:t>
      </w:r>
      <w:hyperlink r:id="rId9" w:tooltip="Desková tektonika" w:history="1">
        <w:r w:rsidRPr="00D16FCC">
          <w:rPr>
            <w:rStyle w:val="Hypertextovodkaz"/>
            <w:rFonts w:ascii="Arial" w:hAnsi="Arial" w:cs="Arial"/>
            <w:color w:val="000000" w:themeColor="text1"/>
            <w:u w:val="none"/>
          </w:rPr>
          <w:t>tektonickými</w:t>
        </w:r>
      </w:hyperlink>
      <w:r w:rsidRPr="00D16FCC">
        <w:rPr>
          <w:rFonts w:ascii="Arial" w:hAnsi="Arial" w:cs="Arial"/>
          <w:color w:val="000000" w:themeColor="text1"/>
        </w:rPr>
        <w:t xml:space="preserve"> posuny i doprovodnou </w:t>
      </w:r>
      <w:r w:rsidR="00024DEA" w:rsidRPr="00D16FCC">
        <w:rPr>
          <w:rFonts w:ascii="Arial" w:hAnsi="Arial" w:cs="Arial"/>
          <w:color w:val="000000" w:themeColor="text1"/>
        </w:rPr>
        <w:t>horotvornou</w:t>
      </w:r>
      <w:r w:rsidRPr="00D16FCC">
        <w:rPr>
          <w:rFonts w:ascii="Arial" w:hAnsi="Arial" w:cs="Arial"/>
          <w:color w:val="000000" w:themeColor="text1"/>
        </w:rPr>
        <w:t xml:space="preserve"> </w:t>
      </w:r>
      <w:r w:rsidR="00E366A1" w:rsidRPr="00D16FCC">
        <w:rPr>
          <w:rFonts w:ascii="Arial" w:hAnsi="Arial" w:cs="Arial"/>
          <w:color w:val="000000" w:themeColor="text1"/>
        </w:rPr>
        <w:t xml:space="preserve">činností </w:t>
      </w:r>
      <w:r w:rsidRPr="00D16FCC">
        <w:rPr>
          <w:rFonts w:ascii="Arial" w:hAnsi="Arial" w:cs="Arial"/>
          <w:color w:val="000000" w:themeColor="text1"/>
        </w:rPr>
        <w:t>způsobenou kolizí </w:t>
      </w:r>
      <w:hyperlink r:id="rId10" w:tooltip="Filipínská deska (stránka neexistuje)" w:history="1">
        <w:r w:rsidRPr="00D16FCC">
          <w:rPr>
            <w:rStyle w:val="Hypertextovodkaz"/>
            <w:rFonts w:ascii="Arial" w:hAnsi="Arial" w:cs="Arial"/>
            <w:color w:val="000000" w:themeColor="text1"/>
            <w:u w:val="none"/>
          </w:rPr>
          <w:t>filipínské oceánské desky</w:t>
        </w:r>
      </w:hyperlink>
      <w:r w:rsidRPr="00D16FCC">
        <w:rPr>
          <w:rFonts w:ascii="Arial" w:hAnsi="Arial" w:cs="Arial"/>
          <w:color w:val="000000" w:themeColor="text1"/>
        </w:rPr>
        <w:t> s </w:t>
      </w:r>
      <w:hyperlink r:id="rId11" w:tooltip="Jižní Čína (kontinent)" w:history="1">
        <w:r w:rsidRPr="00D16FCC">
          <w:rPr>
            <w:rStyle w:val="Hypertextovodkaz"/>
            <w:rFonts w:ascii="Arial" w:hAnsi="Arial" w:cs="Arial"/>
            <w:color w:val="000000" w:themeColor="text1"/>
            <w:u w:val="none"/>
          </w:rPr>
          <w:t>jihočínskou</w:t>
        </w:r>
      </w:hyperlink>
      <w:r w:rsidR="00E366A1" w:rsidRPr="00D16FCC">
        <w:rPr>
          <w:rFonts w:ascii="Arial" w:hAnsi="Arial" w:cs="Arial"/>
        </w:rPr>
        <w:t xml:space="preserve"> deskou. </w:t>
      </w:r>
    </w:p>
    <w:p w:rsidR="005071CC" w:rsidRPr="00D16FCC" w:rsidRDefault="005071CC" w:rsidP="005071CC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t>Vědci z Ústavu struktury a mechaniky hornin Akademie věd ČR (ÚSMH</w:t>
      </w:r>
      <w:r w:rsidR="00D16FCC" w:rsidRPr="00D16FCC">
        <w:rPr>
          <w:rFonts w:ascii="Arial" w:hAnsi="Arial" w:cs="Arial"/>
        </w:rPr>
        <w:t xml:space="preserve"> AV ČR</w:t>
      </w:r>
      <w:r w:rsidRPr="00D16FCC">
        <w:rPr>
          <w:rFonts w:ascii="Arial" w:hAnsi="Arial" w:cs="Arial"/>
        </w:rPr>
        <w:t>) a z Ústavu geologických věd Masarykovy univerzity (MU) zkoumali</w:t>
      </w:r>
      <w:r w:rsidR="00E366A1" w:rsidRPr="00D16FCC">
        <w:rPr>
          <w:rFonts w:ascii="Arial" w:hAnsi="Arial" w:cs="Arial"/>
        </w:rPr>
        <w:t xml:space="preserve"> letos v březnu</w:t>
      </w:r>
      <w:r w:rsidRPr="00D16FCC">
        <w:rPr>
          <w:rFonts w:ascii="Arial" w:hAnsi="Arial" w:cs="Arial"/>
        </w:rPr>
        <w:t xml:space="preserve"> ve spolupráci s kolegy z tchajwanské National Central University a National Changhua University současné tektonické zlomy a také s nimi související sesuvy, které vznikly při zemětřeseních v nedávné době, takzvané koseismické sesuvy. Výzkum těchto jevů probíhá za použití moderních strukturně-geologických, sedimentologických a geomorfologických metod a je realizován v rámci dvoustranného projektu podpořeného Grantovou agenturou České republiky a tchajwanskou National Science and Technology Council.  </w:t>
      </w:r>
    </w:p>
    <w:p w:rsidR="00E366A1" w:rsidRPr="00D16FCC" w:rsidRDefault="005071CC" w:rsidP="00E366A1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t xml:space="preserve">Pohyby zemských desek podél zlomů vyvolávají zemětřesení, a proto je důležité tyto pohyby sledovat. </w:t>
      </w:r>
      <w:r w:rsidR="00E366A1" w:rsidRPr="00D16FCC">
        <w:rPr>
          <w:rFonts w:ascii="Arial" w:hAnsi="Arial" w:cs="Arial"/>
        </w:rPr>
        <w:t>Mezinárodní vědecký tým proto v</w:t>
      </w:r>
      <w:r w:rsidRPr="00D16FCC">
        <w:rPr>
          <w:rFonts w:ascii="Arial" w:hAnsi="Arial" w:cs="Arial"/>
        </w:rPr>
        <w:t> rámci pilotní studie nainstaloval na dvou</w:t>
      </w:r>
      <w:r w:rsidR="00E366A1" w:rsidRPr="00D16FCC">
        <w:rPr>
          <w:rFonts w:ascii="Arial" w:hAnsi="Arial" w:cs="Arial"/>
        </w:rPr>
        <w:t xml:space="preserve"> zdejších</w:t>
      </w:r>
      <w:r w:rsidRPr="00D16FCC">
        <w:rPr>
          <w:rFonts w:ascii="Arial" w:hAnsi="Arial" w:cs="Arial"/>
        </w:rPr>
        <w:t xml:space="preserve"> seismicky aktivních zlomech unikátní přístroje, které umožňují bezkontaktní trojrozměrné měření i velmi malých pohybů na </w:t>
      </w:r>
      <w:r w:rsidR="00E366A1" w:rsidRPr="00D16FCC">
        <w:rPr>
          <w:rFonts w:ascii="Arial" w:hAnsi="Arial" w:cs="Arial"/>
        </w:rPr>
        <w:t>zkoumaných</w:t>
      </w:r>
      <w:r w:rsidRPr="00D16FCC">
        <w:rPr>
          <w:rFonts w:ascii="Arial" w:hAnsi="Arial" w:cs="Arial"/>
        </w:rPr>
        <w:t xml:space="preserve"> zlomech. </w:t>
      </w:r>
      <w:r w:rsidR="00E366A1" w:rsidRPr="00D16FCC">
        <w:rPr>
          <w:rFonts w:ascii="Arial" w:hAnsi="Arial" w:cs="Arial"/>
        </w:rPr>
        <w:t>„Výsledky systematického dlouhodobého měření umožní lépe poznat dynamiku přípovrchového chování těchto zlomů. Hlavním cílem je možnost identifikovat varovné signály blížícího se zemětřesení,“ uvedl vedoucí výzkumného týmu Dr. Ivo Baroň</w:t>
      </w:r>
      <w:r w:rsidR="00D16FCC" w:rsidRPr="00D16FCC">
        <w:rPr>
          <w:rFonts w:ascii="Arial" w:hAnsi="Arial" w:cs="Arial"/>
        </w:rPr>
        <w:t xml:space="preserve"> z ÚSMH AV ČR. </w:t>
      </w:r>
      <w:r w:rsidR="00E366A1" w:rsidRPr="00D16FCC">
        <w:rPr>
          <w:rFonts w:ascii="Arial" w:hAnsi="Arial" w:cs="Arial"/>
        </w:rPr>
        <w:t>Vysvětlil, že jedním z těchto varovných signálů může být právě zvýšený pohyb na zlomech nebo změny jeho rychlosti.</w:t>
      </w:r>
    </w:p>
    <w:p w:rsidR="005071CC" w:rsidRPr="00D16FCC" w:rsidRDefault="005071CC" w:rsidP="005071CC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t>Jeden zlom, na němž začali měřit, je hlavní částí expozice  muzea Chelungpu Fault Park, které je věnováno poslednímu katastrofickému zemětřesení na Tchaj-wanu v roce 1999. Tehdy byla při zemětřesení o síle 7,</w:t>
      </w:r>
      <w:r w:rsidR="00024DEA" w:rsidRPr="00D16FCC">
        <w:rPr>
          <w:rFonts w:ascii="Arial" w:hAnsi="Arial" w:cs="Arial"/>
        </w:rPr>
        <w:t>6</w:t>
      </w:r>
      <w:r w:rsidRPr="00D16FCC">
        <w:rPr>
          <w:rFonts w:ascii="Arial" w:hAnsi="Arial" w:cs="Arial"/>
        </w:rPr>
        <w:t xml:space="preserve"> Richterovy škály poničena velká část ostrova a zahynuly při něm nejméně dva tisíce lidí a dalších 11 tisíc utrpělo zranění. Nyní je výchoz využíván pro vzdělávání veřejnosti o zemětřeseních a ochraně proti nim. Další </w:t>
      </w:r>
      <w:r w:rsidR="00024DEA" w:rsidRPr="00D16FCC">
        <w:rPr>
          <w:rFonts w:ascii="Arial" w:hAnsi="Arial" w:cs="Arial"/>
        </w:rPr>
        <w:t>sledovan</w:t>
      </w:r>
      <w:r w:rsidR="00E366A1" w:rsidRPr="00D16FCC">
        <w:rPr>
          <w:rFonts w:ascii="Arial" w:hAnsi="Arial" w:cs="Arial"/>
        </w:rPr>
        <w:t>ý</w:t>
      </w:r>
      <w:r w:rsidR="00024DEA" w:rsidRPr="00D16FCC">
        <w:rPr>
          <w:rFonts w:ascii="Arial" w:hAnsi="Arial" w:cs="Arial"/>
        </w:rPr>
        <w:t xml:space="preserve"> </w:t>
      </w:r>
      <w:r w:rsidRPr="00D16FCC">
        <w:rPr>
          <w:rFonts w:ascii="Arial" w:hAnsi="Arial" w:cs="Arial"/>
        </w:rPr>
        <w:t>zlom prochází areálem základní školy ve městě Wan´</w:t>
      </w:r>
      <w:r w:rsidR="00024DEA" w:rsidRPr="00D16FCC">
        <w:rPr>
          <w:rFonts w:ascii="Arial" w:hAnsi="Arial" w:cs="Arial"/>
        </w:rPr>
        <w:t>a</w:t>
      </w:r>
      <w:r w:rsidRPr="00D16FCC">
        <w:rPr>
          <w:rFonts w:ascii="Arial" w:hAnsi="Arial" w:cs="Arial"/>
        </w:rPr>
        <w:t>an na rozhraní Euroasijské litosférické desky a desky Filipínského moře (Chishangský zlom) ve východní části Tchaj-wanu</w:t>
      </w:r>
      <w:r w:rsidR="00E366A1" w:rsidRPr="00D16FCC">
        <w:rPr>
          <w:rFonts w:ascii="Arial" w:hAnsi="Arial" w:cs="Arial"/>
        </w:rPr>
        <w:t>.</w:t>
      </w:r>
      <w:r w:rsidRPr="00D16FCC">
        <w:rPr>
          <w:rFonts w:ascii="Arial" w:hAnsi="Arial" w:cs="Arial"/>
        </w:rPr>
        <w:t xml:space="preserve"> </w:t>
      </w:r>
    </w:p>
    <w:p w:rsidR="005071CC" w:rsidRPr="00D16FCC" w:rsidRDefault="00E366A1" w:rsidP="005071CC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t xml:space="preserve"> </w:t>
      </w:r>
      <w:r w:rsidR="005071CC" w:rsidRPr="00D16FCC">
        <w:rPr>
          <w:rFonts w:ascii="Arial" w:hAnsi="Arial" w:cs="Arial"/>
        </w:rPr>
        <w:t>„Uveden</w:t>
      </w:r>
      <w:r w:rsidR="00024DEA" w:rsidRPr="00D16FCC">
        <w:rPr>
          <w:rFonts w:ascii="Arial" w:hAnsi="Arial" w:cs="Arial"/>
        </w:rPr>
        <w:t>é</w:t>
      </w:r>
      <w:r w:rsidR="005071CC" w:rsidRPr="00D16FCC">
        <w:rPr>
          <w:rFonts w:ascii="Arial" w:hAnsi="Arial" w:cs="Arial"/>
        </w:rPr>
        <w:t xml:space="preserve"> zlom</w:t>
      </w:r>
      <w:r w:rsidR="00024DEA" w:rsidRPr="00D16FCC">
        <w:rPr>
          <w:rFonts w:ascii="Arial" w:hAnsi="Arial" w:cs="Arial"/>
        </w:rPr>
        <w:t>y</w:t>
      </w:r>
      <w:r w:rsidR="005071CC" w:rsidRPr="00D16FCC">
        <w:rPr>
          <w:rFonts w:ascii="Arial" w:hAnsi="Arial" w:cs="Arial"/>
        </w:rPr>
        <w:t xml:space="preserve"> jsme zkoumali pomocí nejmodernějších metod studia, jakými jsou anizotropie magnetické susceptibility nebo metody přesného měření mikrometrických pohybů na zlomech,“ doplnil doc. Rostislav Melichar, spoluřešitel projektu z Masarykovy univerzity. </w:t>
      </w:r>
    </w:p>
    <w:p w:rsidR="005071CC" w:rsidRPr="00D16FCC" w:rsidRDefault="005071CC" w:rsidP="005071CC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t>„Získané poznatky nám pomohou lépe porozumět vztahům mezi dynamikou tektonických zlomů a souvisejícími sesuvy, které byly nově objeveny v geologicky podobném, ale v současné době seismicky daleko klidnějším horstvu Vnějších Západních Karpat,“ řekl Dr. Filip Hartvich, ředitel ÚSMH, a rovněž člen výzkumného týmu. Připomněl, že nový přístroj na měření pohybů na zlomech byl vyvinut spolu s kolegy z Vysokého učení v Brně a Institute of Material Science v Barceloně v rámci nedávno ukončeného projektu GAMA</w:t>
      </w:r>
      <w:r w:rsidR="00024DEA" w:rsidRPr="00D16FCC">
        <w:rPr>
          <w:rFonts w:ascii="Arial" w:hAnsi="Arial" w:cs="Arial"/>
        </w:rPr>
        <w:t xml:space="preserve"> </w:t>
      </w:r>
      <w:r w:rsidRPr="00D16FCC">
        <w:rPr>
          <w:rFonts w:ascii="Arial" w:hAnsi="Arial" w:cs="Arial"/>
        </w:rPr>
        <w:t>2</w:t>
      </w:r>
      <w:r w:rsidR="00024DEA" w:rsidRPr="00D16FCC">
        <w:rPr>
          <w:rFonts w:ascii="Arial" w:hAnsi="Arial" w:cs="Arial"/>
        </w:rPr>
        <w:t xml:space="preserve"> </w:t>
      </w:r>
      <w:r w:rsidRPr="00D16FCC">
        <w:rPr>
          <w:rFonts w:ascii="Arial" w:hAnsi="Arial" w:cs="Arial"/>
        </w:rPr>
        <w:t>4GEO podpořeného Technologickou agenturou ČR.</w:t>
      </w:r>
    </w:p>
    <w:p w:rsidR="005071CC" w:rsidRPr="00D16FCC" w:rsidRDefault="005071CC" w:rsidP="005071CC">
      <w:pPr>
        <w:jc w:val="both"/>
        <w:rPr>
          <w:rFonts w:ascii="Arial" w:hAnsi="Arial" w:cs="Arial"/>
        </w:rPr>
      </w:pPr>
      <w:r w:rsidRPr="00D16FCC">
        <w:rPr>
          <w:rFonts w:ascii="Arial" w:hAnsi="Arial" w:cs="Arial"/>
        </w:rPr>
        <w:lastRenderedPageBreak/>
        <w:t>Oboustranná spolupráce mezi českými a tchajwanskými vědci se nezaměřuje jen na bádání na Tchaj-wanu. Tento mezinárodní tým zkoumal v loňském roce v České republice pohyby na zlomech ve Vnějších Západních Karpatech, a to v Lidečku na Vsetínsku a v Mikulově. Mimo jiné chtěl</w:t>
      </w:r>
      <w:r w:rsidR="002025EF">
        <w:rPr>
          <w:rFonts w:ascii="Arial" w:hAnsi="Arial" w:cs="Arial"/>
        </w:rPr>
        <w:t>i vědci</w:t>
      </w:r>
      <w:r w:rsidRPr="00D16FCC">
        <w:rPr>
          <w:rFonts w:ascii="Arial" w:hAnsi="Arial" w:cs="Arial"/>
        </w:rPr>
        <w:t xml:space="preserve"> zjistit, zda za vznikem zdejších </w:t>
      </w:r>
      <w:r w:rsidR="00024DEA" w:rsidRPr="00D16FCC">
        <w:rPr>
          <w:rFonts w:ascii="Arial" w:hAnsi="Arial" w:cs="Arial"/>
        </w:rPr>
        <w:t xml:space="preserve">sesuvů </w:t>
      </w:r>
      <w:r w:rsidRPr="00D16FCC">
        <w:rPr>
          <w:rFonts w:ascii="Arial" w:hAnsi="Arial" w:cs="Arial"/>
        </w:rPr>
        <w:t xml:space="preserve">stojí </w:t>
      </w:r>
      <w:r w:rsidR="00024DEA" w:rsidRPr="00D16FCC">
        <w:rPr>
          <w:rFonts w:ascii="Arial" w:hAnsi="Arial" w:cs="Arial"/>
        </w:rPr>
        <w:t xml:space="preserve">výrazné deště </w:t>
      </w:r>
      <w:r w:rsidRPr="00D16FCC">
        <w:rPr>
          <w:rFonts w:ascii="Arial" w:hAnsi="Arial" w:cs="Arial"/>
        </w:rPr>
        <w:t xml:space="preserve">nebo zemětřesení. Podle </w:t>
      </w:r>
      <w:r w:rsidR="002025EF">
        <w:rPr>
          <w:rFonts w:ascii="Arial" w:hAnsi="Arial" w:cs="Arial"/>
        </w:rPr>
        <w:t xml:space="preserve">nich </w:t>
      </w:r>
      <w:r w:rsidRPr="00D16FCC">
        <w:rPr>
          <w:rFonts w:ascii="Arial" w:hAnsi="Arial" w:cs="Arial"/>
        </w:rPr>
        <w:t xml:space="preserve">je možné porovnávat výsledky ze zkoumání seismicky aktivního horstva na Tchaj-wanu se zjištěními v České republice a vyvodit z nich užitečné závěry. Tento výzkum stále pokračuje.  </w:t>
      </w:r>
    </w:p>
    <w:p w:rsidR="0049361D" w:rsidRPr="0049361D" w:rsidRDefault="0049361D" w:rsidP="005071CC">
      <w:pPr>
        <w:jc w:val="both"/>
        <w:rPr>
          <w:rFonts w:ascii="Arial" w:hAnsi="Arial" w:cs="Arial"/>
          <w:sz w:val="20"/>
          <w:szCs w:val="20"/>
        </w:rPr>
      </w:pPr>
    </w:p>
    <w:p w:rsidR="002025EF" w:rsidRPr="002025EF" w:rsidRDefault="0049361D" w:rsidP="0049361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9361D">
        <w:rPr>
          <w:rFonts w:ascii="Arial" w:hAnsi="Arial" w:cs="Arial"/>
          <w:b/>
          <w:i/>
          <w:color w:val="000000" w:themeColor="text1"/>
          <w:sz w:val="20"/>
          <w:szCs w:val="20"/>
        </w:rPr>
        <w:t>Ústav struktury a mechaniky hornin AV ČR, v.v.i.</w:t>
      </w:r>
      <w:r w:rsidRPr="0049361D">
        <w:rPr>
          <w:rFonts w:ascii="Arial" w:hAnsi="Arial" w:cs="Arial"/>
          <w:i/>
          <w:color w:val="000000" w:themeColor="text1"/>
          <w:sz w:val="20"/>
          <w:szCs w:val="20"/>
        </w:rPr>
        <w:t xml:space="preserve">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 </w:t>
      </w:r>
      <w:r w:rsidRPr="0049361D">
        <w:rPr>
          <w:rFonts w:ascii="Arial" w:hAnsi="Arial" w:cs="Arial"/>
          <w:i/>
          <w:color w:val="000000" w:themeColor="text1"/>
          <w:sz w:val="20"/>
          <w:szCs w:val="20"/>
        </w:rPr>
        <w:br/>
      </w:r>
    </w:p>
    <w:p w:rsidR="0049361D" w:rsidRPr="0049361D" w:rsidRDefault="0049361D" w:rsidP="0049361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9361D">
        <w:rPr>
          <w:rFonts w:ascii="Arial" w:hAnsi="Arial" w:cs="Arial"/>
          <w:b/>
          <w:color w:val="000000" w:themeColor="text1"/>
          <w:sz w:val="20"/>
          <w:szCs w:val="20"/>
        </w:rPr>
        <w:t>www.irsm.cas.cz</w:t>
      </w:r>
    </w:p>
    <w:p w:rsidR="0049361D" w:rsidRPr="0049361D" w:rsidRDefault="0049361D" w:rsidP="0049361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49361D" w:rsidRPr="0049361D" w:rsidRDefault="0049361D" w:rsidP="005071CC">
      <w:pPr>
        <w:jc w:val="both"/>
        <w:rPr>
          <w:rFonts w:ascii="Arial" w:hAnsi="Arial" w:cs="Arial"/>
          <w:sz w:val="20"/>
          <w:szCs w:val="20"/>
        </w:rPr>
      </w:pPr>
    </w:p>
    <w:sectPr w:rsidR="0049361D" w:rsidRPr="0049361D" w:rsidSect="00B277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8E" w:rsidRDefault="00DF498E" w:rsidP="003E3609">
      <w:pPr>
        <w:spacing w:after="0" w:line="240" w:lineRule="auto"/>
      </w:pPr>
      <w:r>
        <w:separator/>
      </w:r>
    </w:p>
  </w:endnote>
  <w:endnote w:type="continuationSeparator" w:id="1">
    <w:p w:rsidR="00DF498E" w:rsidRDefault="00DF498E" w:rsidP="003E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8E" w:rsidRDefault="00DF498E" w:rsidP="003E3609">
      <w:pPr>
        <w:spacing w:after="0" w:line="240" w:lineRule="auto"/>
      </w:pPr>
      <w:r>
        <w:separator/>
      </w:r>
    </w:p>
  </w:footnote>
  <w:footnote w:type="continuationSeparator" w:id="1">
    <w:p w:rsidR="00DF498E" w:rsidRDefault="00DF498E" w:rsidP="003E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53" w:rsidRDefault="00B27753">
    <w:pPr>
      <w:pStyle w:val="Zhlav"/>
    </w:pPr>
    <w:r w:rsidRPr="003E3609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-300990</wp:posOffset>
          </wp:positionV>
          <wp:extent cx="1325245" cy="665480"/>
          <wp:effectExtent l="0" t="0" r="8255" b="0"/>
          <wp:wrapTight wrapText="bothSides">
            <wp:wrapPolygon edited="0">
              <wp:start x="4347" y="618"/>
              <wp:lineTo x="2794" y="1237"/>
              <wp:lineTo x="0" y="7420"/>
              <wp:lineTo x="0" y="12985"/>
              <wp:lineTo x="2794" y="19786"/>
              <wp:lineTo x="3726" y="19786"/>
              <wp:lineTo x="7141" y="19786"/>
              <wp:lineTo x="8694" y="19786"/>
              <wp:lineTo x="21735" y="11748"/>
              <wp:lineTo x="21735" y="9275"/>
              <wp:lineTo x="13972" y="4328"/>
              <wp:lineTo x="6520" y="618"/>
              <wp:lineTo x="4347" y="618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09"/>
    <w:rsid w:val="00024DEA"/>
    <w:rsid w:val="000C54F0"/>
    <w:rsid w:val="002025EF"/>
    <w:rsid w:val="002E2EF0"/>
    <w:rsid w:val="003E3609"/>
    <w:rsid w:val="0049361D"/>
    <w:rsid w:val="005071CC"/>
    <w:rsid w:val="0078781D"/>
    <w:rsid w:val="007F0843"/>
    <w:rsid w:val="008A5D4F"/>
    <w:rsid w:val="008B42B4"/>
    <w:rsid w:val="008E32B4"/>
    <w:rsid w:val="00B27753"/>
    <w:rsid w:val="00D16FCC"/>
    <w:rsid w:val="00D84D90"/>
    <w:rsid w:val="00DF498E"/>
    <w:rsid w:val="00E366A1"/>
    <w:rsid w:val="00F150BA"/>
    <w:rsid w:val="00F5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6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36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360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E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3609"/>
  </w:style>
  <w:style w:type="paragraph" w:styleId="Zpat">
    <w:name w:val="footer"/>
    <w:basedOn w:val="Normln"/>
    <w:link w:val="ZpatChar"/>
    <w:uiPriority w:val="99"/>
    <w:semiHidden/>
    <w:unhideWhenUsed/>
    <w:rsid w:val="003E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3609"/>
  </w:style>
  <w:style w:type="paragraph" w:styleId="Odstavecseseznamem">
    <w:name w:val="List Paragraph"/>
    <w:basedOn w:val="Normln"/>
    <w:uiPriority w:val="34"/>
    <w:qFormat/>
    <w:rsid w:val="0049361D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%C5%99etiho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Ji%C5%BEn%C3%AD_%C4%8C%C3%ADna_(kontinent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/index.php?title=Filip%C3%ADnsk%C3%A1_desk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Deskov%C3%A1_tektoni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EC8C-3A99-4451-A036-D7553B3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marifi@seznam.cz</dc:creator>
  <cp:lastModifiedBy>marifi@seznam.cz</cp:lastModifiedBy>
  <cp:revision>6</cp:revision>
  <dcterms:created xsi:type="dcterms:W3CDTF">2023-04-20T11:09:00Z</dcterms:created>
  <dcterms:modified xsi:type="dcterms:W3CDTF">2023-04-21T06:32:00Z</dcterms:modified>
</cp:coreProperties>
</file>