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6984B729" w14:textId="77777777" w:rsidR="00BF68C6" w:rsidRPr="003F3D48" w:rsidRDefault="00BF68C6" w:rsidP="00BF68C6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3F3D48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Vědci z ÚOCHB vylepšují léčbu rakoviny a </w:t>
      </w:r>
      <w:proofErr w:type="gramStart"/>
      <w:r w:rsidRPr="003F3D48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snaží</w:t>
      </w:r>
      <w:proofErr w:type="gramEnd"/>
      <w:r w:rsidRPr="003F3D48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se potlačit vedlejší účinky léků</w:t>
      </w:r>
    </w:p>
    <w:p w14:paraId="33B57B58" w14:textId="1C44BB32" w:rsidR="00BF68C6" w:rsidRPr="00822A2A" w:rsidRDefault="00BF68C6" w:rsidP="00BF68C6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>2. 8. 2023</w:t>
      </w:r>
    </w:p>
    <w:p w14:paraId="5449B1D7" w14:textId="77777777" w:rsidR="00BF68C6" w:rsidRDefault="00BF68C6" w:rsidP="00BF68C6">
      <w:pPr>
        <w:rPr>
          <w:rFonts w:ascii="Calibri" w:eastAsia="Calibri" w:hAnsi="Calibri" w:cs="Times New Roman"/>
          <w:b/>
          <w:bCs/>
          <w:sz w:val="22"/>
          <w:szCs w:val="22"/>
          <w:lang w:val="cs-CZ"/>
        </w:rPr>
      </w:pPr>
    </w:p>
    <w:p w14:paraId="2A385AE6" w14:textId="7984C3DF" w:rsidR="00BF68C6" w:rsidRPr="00B76E2F" w:rsidRDefault="00BF68C6" w:rsidP="005878AD">
      <w:pPr>
        <w:spacing w:after="160" w:line="259" w:lineRule="auto"/>
        <w:jc w:val="both"/>
        <w:rPr>
          <w:rFonts w:eastAsia="Calibri" w:cs="Arial"/>
          <w:b/>
          <w:bCs/>
          <w:szCs w:val="20"/>
          <w:lang w:val="cs-CZ"/>
        </w:rPr>
      </w:pPr>
      <w:r w:rsidRPr="00B76E2F">
        <w:rPr>
          <w:rFonts w:eastAsia="Calibri" w:cs="Arial"/>
          <w:b/>
          <w:bCs/>
          <w:szCs w:val="20"/>
          <w:lang w:val="cs-CZ"/>
        </w:rPr>
        <w:t xml:space="preserve">Vědecký tým z ÚOCHB AV ČR pod vedením Milana Vrábela vyvinul novou chemickou reakci, která umožní líp zacílit léčiva na konkrétní místa v lidském těle nebo sledovat, zda se léčivá látka dostává i jinam, než má. Tento efekt může pomoci odstranit nežádoucí vedlejší účinky terapie. </w:t>
      </w:r>
    </w:p>
    <w:p w14:paraId="46498F4E" w14:textId="05C61F56" w:rsidR="00B76E2F" w:rsidRDefault="00BF68C6" w:rsidP="005878AD">
      <w:pPr>
        <w:spacing w:after="160" w:line="259" w:lineRule="auto"/>
        <w:jc w:val="both"/>
        <w:rPr>
          <w:rFonts w:eastAsia="Calibri" w:cs="Arial"/>
          <w:szCs w:val="20"/>
          <w:lang w:val="cs-CZ"/>
        </w:rPr>
      </w:pPr>
      <w:r w:rsidRPr="003F3D48">
        <w:rPr>
          <w:rFonts w:eastAsia="Calibri" w:cs="Arial"/>
          <w:szCs w:val="20"/>
          <w:lang w:val="cs-CZ"/>
        </w:rPr>
        <w:t xml:space="preserve">Zcela nová </w:t>
      </w:r>
      <w:proofErr w:type="spellStart"/>
      <w:r w:rsidRPr="003F3D48">
        <w:rPr>
          <w:rFonts w:eastAsia="Calibri" w:cs="Arial"/>
          <w:szCs w:val="20"/>
          <w:lang w:val="cs-CZ"/>
        </w:rPr>
        <w:t>bioortogonální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neboli biokompatibilní reakce slibuje výrazné pokroky v umění cílit léčiva na vybraná místa v organismu, například na rakovinný nádor. Díky této reakci, tzv. </w:t>
      </w:r>
      <w:proofErr w:type="spellStart"/>
      <w:r w:rsidRPr="003F3D48">
        <w:rPr>
          <w:rFonts w:eastAsia="Calibri" w:cs="Arial"/>
          <w:szCs w:val="20"/>
          <w:lang w:val="cs-CZ"/>
        </w:rPr>
        <w:t>triaziniové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</w:t>
      </w:r>
      <w:proofErr w:type="spellStart"/>
      <w:r w:rsidRPr="003F3D48">
        <w:rPr>
          <w:rFonts w:eastAsia="Calibri" w:cs="Arial"/>
          <w:szCs w:val="20"/>
          <w:lang w:val="cs-CZ"/>
        </w:rPr>
        <w:t>ligaci</w:t>
      </w:r>
      <w:proofErr w:type="spellEnd"/>
      <w:r w:rsidRPr="003F3D48">
        <w:rPr>
          <w:rFonts w:eastAsia="Calibri" w:cs="Arial"/>
          <w:szCs w:val="20"/>
          <w:lang w:val="cs-CZ"/>
        </w:rPr>
        <w:t>, je totiž možné úspěšně upravovat biomolekuly, třeba proteiny nebo peptidy</w:t>
      </w:r>
      <w:r w:rsidR="00B76E2F">
        <w:rPr>
          <w:rFonts w:eastAsia="Calibri" w:cs="Arial"/>
          <w:szCs w:val="20"/>
          <w:lang w:val="cs-CZ"/>
        </w:rPr>
        <w:t>,</w:t>
      </w:r>
      <w:r w:rsidRPr="003F3D48">
        <w:rPr>
          <w:rFonts w:eastAsia="Calibri" w:cs="Arial"/>
          <w:szCs w:val="20"/>
          <w:lang w:val="cs-CZ"/>
        </w:rPr>
        <w:t xml:space="preserve"> tak, aby společně s léčivou látkou našly kýženou tkáň. Reagenty, které vědci z ÚOCHB vyvinuli, se můžou pochlubit mnoha zajímavými vlastnostmi. V organismu jsou stabilní, působí velmi rychle a jsou výborně rozpustné.</w:t>
      </w:r>
    </w:p>
    <w:p w14:paraId="1AD13B61" w14:textId="2F00CFD1" w:rsidR="00BF68C6" w:rsidRPr="003F3D48" w:rsidRDefault="00BF68C6">
      <w:pPr>
        <w:spacing w:after="160" w:line="259" w:lineRule="auto"/>
        <w:jc w:val="both"/>
        <w:rPr>
          <w:rFonts w:eastAsia="Calibri" w:cs="Arial"/>
          <w:szCs w:val="20"/>
          <w:lang w:val="cs-CZ"/>
        </w:rPr>
      </w:pPr>
      <w:r w:rsidRPr="003F3D48">
        <w:rPr>
          <w:rFonts w:eastAsia="Calibri" w:cs="Arial"/>
          <w:szCs w:val="20"/>
          <w:lang w:val="cs-CZ"/>
        </w:rPr>
        <w:t xml:space="preserve">„Doufáme, že nám tato metoda umožní například označovat různé léky v živých buněčných kulturách, a tak lépe porozumět jejich působení a mechanismu účinku,“ říká vedoucí vědecké skupiny Chemie </w:t>
      </w:r>
      <w:proofErr w:type="spellStart"/>
      <w:r w:rsidR="00B76E2F">
        <w:rPr>
          <w:rFonts w:eastAsia="Calibri" w:cs="Arial"/>
          <w:szCs w:val="20"/>
          <w:lang w:val="cs-CZ"/>
        </w:rPr>
        <w:t>b</w:t>
      </w:r>
      <w:r w:rsidR="00B76E2F" w:rsidRPr="003F3D48">
        <w:rPr>
          <w:rFonts w:eastAsia="Calibri" w:cs="Arial"/>
          <w:szCs w:val="20"/>
          <w:lang w:val="cs-CZ"/>
        </w:rPr>
        <w:t>iokonjugátů</w:t>
      </w:r>
      <w:proofErr w:type="spellEnd"/>
      <w:r w:rsidR="00B76E2F" w:rsidRPr="003F3D48">
        <w:rPr>
          <w:rFonts w:eastAsia="Calibri" w:cs="Arial"/>
          <w:szCs w:val="20"/>
          <w:lang w:val="cs-CZ"/>
        </w:rPr>
        <w:t xml:space="preserve"> </w:t>
      </w:r>
      <w:r w:rsidRPr="003F3D48">
        <w:rPr>
          <w:rFonts w:eastAsia="Calibri" w:cs="Arial"/>
          <w:szCs w:val="20"/>
          <w:lang w:val="cs-CZ"/>
        </w:rPr>
        <w:t xml:space="preserve">Milan Vrábel. Jeho současná práce navazuje na výzkum, na nějž získal v roce 2016 prestižní ERC grant, ve kterém už bioortogonální reakce on a jeho tým využívali. </w:t>
      </w:r>
    </w:p>
    <w:p w14:paraId="67DFC257" w14:textId="4D315C24" w:rsidR="00BF68C6" w:rsidRPr="003F3D48" w:rsidRDefault="00BF68C6" w:rsidP="00BF68C6">
      <w:pPr>
        <w:spacing w:after="160" w:line="259" w:lineRule="auto"/>
        <w:jc w:val="both"/>
        <w:rPr>
          <w:rFonts w:eastAsia="Calibri" w:cs="Arial"/>
          <w:szCs w:val="20"/>
          <w:lang w:val="cs-CZ"/>
        </w:rPr>
      </w:pPr>
      <w:r w:rsidRPr="003F3D48">
        <w:rPr>
          <w:rFonts w:eastAsia="Calibri" w:cs="Arial"/>
          <w:szCs w:val="20"/>
          <w:lang w:val="cs-CZ"/>
        </w:rPr>
        <w:t xml:space="preserve">Potenciál popisovaného objevu, který uveřejnil vědecký časopis </w:t>
      </w:r>
      <w:proofErr w:type="spellStart"/>
      <w:r w:rsidRPr="005878AD">
        <w:rPr>
          <w:rFonts w:eastAsia="Calibri" w:cs="Arial"/>
          <w:i/>
          <w:iCs/>
          <w:szCs w:val="20"/>
          <w:lang w:val="cs-CZ"/>
        </w:rPr>
        <w:t>Angewandte</w:t>
      </w:r>
      <w:proofErr w:type="spellEnd"/>
      <w:r w:rsidRPr="005878AD">
        <w:rPr>
          <w:rFonts w:eastAsia="Calibri" w:cs="Arial"/>
          <w:i/>
          <w:iCs/>
          <w:szCs w:val="20"/>
          <w:lang w:val="cs-CZ"/>
        </w:rPr>
        <w:t xml:space="preserve"> Chemie</w:t>
      </w:r>
      <w:r w:rsidR="00B76E2F">
        <w:rPr>
          <w:rFonts w:eastAsia="Calibri" w:cs="Arial"/>
          <w:szCs w:val="20"/>
          <w:lang w:val="cs-CZ"/>
        </w:rPr>
        <w:t>,</w:t>
      </w:r>
      <w:r w:rsidRPr="003F3D48">
        <w:rPr>
          <w:rFonts w:eastAsia="Calibri" w:cs="Arial"/>
          <w:szCs w:val="20"/>
          <w:lang w:val="cs-CZ"/>
        </w:rPr>
        <w:t xml:space="preserve"> je široký. Na jeho základě získávají odborníci šanci nejen dopravovat léky tam, kam je třeba, ale taky sledovat, jak v buňkách působí. Prostřednictvím nové chemické reakce lze totiž přidat k léčivé látce světelnou značku, dobře viditelnou pod mikroskopem. Rozsvícené léčivo pak expertům jasně ukáže, zda se v organismu dostalo i tam, kam nemělo. Další úpravou na molekulární úrovni lze pak ve druhém kroku změnit lék tak, aby zůstával pouze na určených místech a aby se zmenšily nebo zcela vyloučily jeho vedlejší účinky. </w:t>
      </w:r>
    </w:p>
    <w:p w14:paraId="0E2F7619" w14:textId="354BD68A" w:rsidR="00BF68C6" w:rsidRPr="003F3D48" w:rsidRDefault="00BF68C6" w:rsidP="00BF68C6">
      <w:pPr>
        <w:spacing w:after="160" w:line="259" w:lineRule="auto"/>
        <w:jc w:val="both"/>
        <w:rPr>
          <w:rFonts w:eastAsia="Calibri" w:cs="Arial"/>
          <w:szCs w:val="20"/>
          <w:lang w:val="cs-CZ"/>
        </w:rPr>
      </w:pPr>
      <w:r w:rsidRPr="003F3D48">
        <w:rPr>
          <w:rFonts w:eastAsia="Calibri" w:cs="Arial"/>
          <w:szCs w:val="20"/>
          <w:lang w:val="cs-CZ"/>
        </w:rPr>
        <w:t xml:space="preserve">Navíc, vědci z ÚOCHB už pracují na nové generaci reagentů, díky kterým se léčivo rozsvítí až přesně na místě, na něž se výzkumníci soustředí, a </w:t>
      </w:r>
      <w:proofErr w:type="gramStart"/>
      <w:r w:rsidRPr="003F3D48">
        <w:rPr>
          <w:rFonts w:eastAsia="Calibri" w:cs="Arial"/>
          <w:szCs w:val="20"/>
          <w:lang w:val="cs-CZ"/>
        </w:rPr>
        <w:t>nezáří</w:t>
      </w:r>
      <w:proofErr w:type="gramEnd"/>
      <w:r w:rsidRPr="003F3D48">
        <w:rPr>
          <w:rFonts w:eastAsia="Calibri" w:cs="Arial"/>
          <w:szCs w:val="20"/>
          <w:lang w:val="cs-CZ"/>
        </w:rPr>
        <w:t xml:space="preserve"> během celé cesty buněčným prostředím. </w:t>
      </w:r>
      <w:r w:rsidR="00B76E2F">
        <w:rPr>
          <w:rFonts w:eastAsia="Calibri" w:cs="Arial"/>
          <w:szCs w:val="20"/>
          <w:lang w:val="cs-CZ"/>
        </w:rPr>
        <w:t>„</w:t>
      </w:r>
      <w:r w:rsidRPr="003F3D48">
        <w:rPr>
          <w:rFonts w:eastAsia="Calibri" w:cs="Arial"/>
          <w:szCs w:val="20"/>
          <w:lang w:val="cs-CZ"/>
        </w:rPr>
        <w:t>Ano, naše výsledky vypadají opravdu slibně a těšíme se na použití naší metody v dalších studiích</w:t>
      </w:r>
      <w:r w:rsidR="004C119E">
        <w:rPr>
          <w:rFonts w:eastAsia="Calibri" w:cs="Arial"/>
          <w:szCs w:val="20"/>
          <w:lang w:val="cs-CZ"/>
        </w:rPr>
        <w:t xml:space="preserve">. </w:t>
      </w:r>
      <w:proofErr w:type="spellStart"/>
      <w:r w:rsidR="004C119E">
        <w:rPr>
          <w:rFonts w:eastAsia="Calibri" w:cs="Arial"/>
          <w:szCs w:val="20"/>
          <w:lang w:val="cs-CZ"/>
        </w:rPr>
        <w:t>T</w:t>
      </w:r>
      <w:r w:rsidRPr="003F3D48">
        <w:rPr>
          <w:rFonts w:eastAsia="Calibri" w:cs="Arial"/>
          <w:szCs w:val="20"/>
          <w:lang w:val="cs-CZ"/>
        </w:rPr>
        <w:t>riazinia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jsou prostě skvělá</w:t>
      </w:r>
      <w:r w:rsidR="00B76E2F" w:rsidRPr="003F3D48">
        <w:rPr>
          <w:rFonts w:eastAsia="Calibri" w:cs="Arial"/>
          <w:szCs w:val="20"/>
          <w:lang w:val="cs-CZ"/>
        </w:rPr>
        <w:t>!</w:t>
      </w:r>
      <w:r w:rsidR="00B76E2F">
        <w:rPr>
          <w:rFonts w:eastAsia="Calibri" w:cs="Arial"/>
          <w:szCs w:val="20"/>
          <w:lang w:val="cs-CZ"/>
        </w:rPr>
        <w:t>“</w:t>
      </w:r>
      <w:r w:rsidR="00B76E2F" w:rsidRPr="003F3D48">
        <w:rPr>
          <w:rFonts w:eastAsia="Calibri" w:cs="Arial"/>
          <w:szCs w:val="20"/>
          <w:lang w:val="cs-CZ"/>
        </w:rPr>
        <w:t xml:space="preserve"> </w:t>
      </w:r>
      <w:r w:rsidRPr="003F3D48">
        <w:rPr>
          <w:rFonts w:eastAsia="Calibri" w:cs="Arial"/>
          <w:szCs w:val="20"/>
          <w:lang w:val="cs-CZ"/>
        </w:rPr>
        <w:t>dodává Veronika Šlachtová, první autorka studie.</w:t>
      </w:r>
    </w:p>
    <w:p w14:paraId="4DD2658A" w14:textId="62ACB7F4" w:rsidR="00BF68C6" w:rsidRPr="003F3D48" w:rsidRDefault="00BF68C6" w:rsidP="00BF68C6">
      <w:pPr>
        <w:spacing w:after="160" w:line="259" w:lineRule="auto"/>
        <w:jc w:val="both"/>
        <w:rPr>
          <w:rFonts w:eastAsia="Calibri" w:cs="Arial"/>
          <w:szCs w:val="20"/>
          <w:lang w:val="cs-CZ"/>
        </w:rPr>
      </w:pPr>
      <w:r w:rsidRPr="003F3D48">
        <w:rPr>
          <w:rFonts w:eastAsia="Calibri" w:cs="Arial"/>
          <w:szCs w:val="20"/>
          <w:lang w:val="cs-CZ"/>
        </w:rPr>
        <w:t xml:space="preserve">Milan Vrábel získal před několika lety nejen zmíněný ERC </w:t>
      </w:r>
      <w:proofErr w:type="spellStart"/>
      <w:r w:rsidRPr="003F3D48">
        <w:rPr>
          <w:rFonts w:eastAsia="Calibri" w:cs="Arial"/>
          <w:szCs w:val="20"/>
          <w:lang w:val="cs-CZ"/>
        </w:rPr>
        <w:t>Starting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grant</w:t>
      </w:r>
      <w:r>
        <w:rPr>
          <w:rFonts w:eastAsia="Calibri" w:cs="Arial"/>
          <w:szCs w:val="20"/>
          <w:lang w:val="cs-CZ"/>
        </w:rPr>
        <w:t>.</w:t>
      </w:r>
      <w:r w:rsidRPr="003F3D48">
        <w:rPr>
          <w:rFonts w:eastAsia="Calibri" w:cs="Arial"/>
          <w:szCs w:val="20"/>
          <w:lang w:val="cs-CZ"/>
        </w:rPr>
        <w:t xml:space="preserve"> Evropská komise se rozhodla podpořit jeho badatelskou práci hned dvakrát. Díky tomu, že se původní výzku</w:t>
      </w:r>
      <w:r>
        <w:rPr>
          <w:rFonts w:eastAsia="Calibri" w:cs="Arial"/>
          <w:szCs w:val="20"/>
          <w:lang w:val="cs-CZ"/>
        </w:rPr>
        <w:t xml:space="preserve">m </w:t>
      </w:r>
      <w:r w:rsidRPr="003F3D48">
        <w:rPr>
          <w:rFonts w:eastAsia="Calibri" w:cs="Arial"/>
          <w:szCs w:val="20"/>
          <w:lang w:val="cs-CZ"/>
        </w:rPr>
        <w:t xml:space="preserve">vydal nepředpokládaným směrem, který by ovšem mohl mít pro společnost zásadní význam. Vede totiž k nové a účinnější metodě léčby virových onemocnění i k vylepšení protirakovinné imunoterapie. Toto bádání podpořila EK finanční injekcí spojenou s grantem ERC </w:t>
      </w:r>
      <w:proofErr w:type="spellStart"/>
      <w:r w:rsidRPr="003F3D48">
        <w:rPr>
          <w:rFonts w:eastAsia="Calibri" w:cs="Arial"/>
          <w:szCs w:val="20"/>
          <w:lang w:val="cs-CZ"/>
        </w:rPr>
        <w:t>Proof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</w:t>
      </w:r>
      <w:proofErr w:type="spellStart"/>
      <w:r w:rsidRPr="003F3D48">
        <w:rPr>
          <w:rFonts w:eastAsia="Calibri" w:cs="Arial"/>
          <w:szCs w:val="20"/>
          <w:lang w:val="cs-CZ"/>
        </w:rPr>
        <w:t>of</w:t>
      </w:r>
      <w:proofErr w:type="spellEnd"/>
      <w:r w:rsidRPr="003F3D48">
        <w:rPr>
          <w:rFonts w:eastAsia="Calibri" w:cs="Arial"/>
          <w:szCs w:val="20"/>
          <w:lang w:val="cs-CZ"/>
        </w:rPr>
        <w:t xml:space="preserve"> </w:t>
      </w:r>
      <w:proofErr w:type="spellStart"/>
      <w:r w:rsidRPr="003F3D48">
        <w:rPr>
          <w:rFonts w:eastAsia="Calibri" w:cs="Arial"/>
          <w:szCs w:val="20"/>
          <w:lang w:val="cs-CZ"/>
        </w:rPr>
        <w:t>Concept</w:t>
      </w:r>
      <w:proofErr w:type="spellEnd"/>
      <w:r w:rsidRPr="003F3D48">
        <w:rPr>
          <w:rFonts w:eastAsia="Calibri" w:cs="Arial"/>
          <w:szCs w:val="20"/>
          <w:lang w:val="cs-CZ"/>
        </w:rPr>
        <w:t xml:space="preserve">. </w:t>
      </w:r>
    </w:p>
    <w:p w14:paraId="3824318A" w14:textId="4F9970CF" w:rsidR="00BF68C6" w:rsidRPr="003F3D48" w:rsidRDefault="00BF68C6" w:rsidP="00BF68C6">
      <w:pPr>
        <w:rPr>
          <w:rFonts w:cs="Arial"/>
          <w:szCs w:val="20"/>
        </w:rPr>
      </w:pPr>
      <w:r w:rsidRPr="00BF68C6">
        <w:rPr>
          <w:rFonts w:eastAsia="Calibri" w:cs="Arial"/>
          <w:szCs w:val="20"/>
          <w:u w:val="single"/>
          <w:lang w:val="cs-CZ"/>
        </w:rPr>
        <w:t>Původní článek</w:t>
      </w:r>
      <w:r w:rsidRPr="003F3D48">
        <w:rPr>
          <w:rFonts w:eastAsia="Calibri" w:cs="Arial"/>
          <w:szCs w:val="20"/>
          <w:lang w:val="cs-CZ"/>
        </w:rPr>
        <w:t xml:space="preserve">: </w:t>
      </w:r>
      <w:hyperlink r:id="rId7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Veronika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Šlachtová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8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Simona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Bellová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9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>Agustina La-Venia</w:t>
        </w:r>
      </w:hyperlink>
      <w:r w:rsidRPr="003F3D48">
        <w:rPr>
          <w:rStyle w:val="comma-separator"/>
          <w:rFonts w:cs="Arial"/>
          <w:szCs w:val="20"/>
        </w:rPr>
        <w:t>, </w:t>
      </w:r>
      <w:hyperlink r:id="rId10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>Juraj Galeta</w:t>
        </w:r>
      </w:hyperlink>
      <w:r w:rsidRPr="003F3D48">
        <w:rPr>
          <w:rStyle w:val="comma-separator"/>
          <w:rFonts w:cs="Arial"/>
          <w:szCs w:val="20"/>
        </w:rPr>
        <w:t>, </w:t>
      </w:r>
      <w:hyperlink r:id="rId11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Martin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Dračínský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12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Karel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Chalupský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13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>Alexandra Dvořáková</w:t>
        </w:r>
      </w:hyperlink>
      <w:r w:rsidRPr="003F3D48">
        <w:rPr>
          <w:rStyle w:val="comma-separator"/>
          <w:rFonts w:cs="Arial"/>
          <w:szCs w:val="20"/>
        </w:rPr>
        <w:t>, </w:t>
      </w:r>
      <w:hyperlink r:id="rId14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Helena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Mertlíková-Kaiserová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15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Peter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Rukovanský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16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Rastislav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Dzijak</w:t>
        </w:r>
        <w:proofErr w:type="spellEnd"/>
      </w:hyperlink>
      <w:r w:rsidRPr="003F3D48">
        <w:rPr>
          <w:rStyle w:val="comma-separator"/>
          <w:rFonts w:cs="Arial"/>
          <w:szCs w:val="20"/>
        </w:rPr>
        <w:t>, </w:t>
      </w:r>
      <w:hyperlink r:id="rId17" w:history="1">
        <w:r w:rsidRPr="003F3D48">
          <w:rPr>
            <w:rStyle w:val="Hypertextovodkaz"/>
            <w:rFonts w:cs="Arial"/>
            <w:color w:val="auto"/>
            <w:szCs w:val="20"/>
            <w:u w:val="none"/>
          </w:rPr>
          <w:t xml:space="preserve">Milan </w:t>
        </w:r>
        <w:proofErr w:type="spellStart"/>
        <w:r w:rsidRPr="003F3D48">
          <w:rPr>
            <w:rStyle w:val="Hypertextovodkaz"/>
            <w:rFonts w:cs="Arial"/>
            <w:color w:val="auto"/>
            <w:szCs w:val="20"/>
            <w:u w:val="none"/>
          </w:rPr>
          <w:t>Vrabel</w:t>
        </w:r>
      </w:hyperlink>
      <w:r w:rsidRPr="003F3D48">
        <w:rPr>
          <w:rStyle w:val="epub-state"/>
          <w:rFonts w:cs="Arial"/>
          <w:szCs w:val="20"/>
        </w:rPr>
        <w:t>First</w:t>
      </w:r>
      <w:proofErr w:type="spellEnd"/>
      <w:r w:rsidRPr="003F3D48">
        <w:rPr>
          <w:rStyle w:val="epub-state"/>
          <w:rFonts w:cs="Arial"/>
          <w:szCs w:val="20"/>
        </w:rPr>
        <w:t xml:space="preserve"> published: </w:t>
      </w:r>
      <w:r w:rsidRPr="003F3D48">
        <w:rPr>
          <w:rStyle w:val="epub-date"/>
          <w:rFonts w:cs="Arial"/>
          <w:szCs w:val="20"/>
        </w:rPr>
        <w:t>12 July 2023</w:t>
      </w:r>
    </w:p>
    <w:p w14:paraId="5F8D3F2B" w14:textId="77777777" w:rsidR="00BF68C6" w:rsidRPr="003F3D48" w:rsidRDefault="00000000" w:rsidP="00BF68C6">
      <w:pPr>
        <w:rPr>
          <w:rFonts w:cs="Arial"/>
          <w:szCs w:val="20"/>
        </w:rPr>
      </w:pPr>
      <w:hyperlink r:id="rId18" w:history="1">
        <w:r w:rsidR="00BF68C6" w:rsidRPr="003F3D48">
          <w:rPr>
            <w:rStyle w:val="Hypertextovodkaz"/>
            <w:rFonts w:cs="Arial"/>
            <w:color w:val="auto"/>
            <w:szCs w:val="20"/>
            <w:u w:val="none"/>
          </w:rPr>
          <w:t>https://doi.org/10.1002/anie.202306828</w:t>
        </w:r>
      </w:hyperlink>
    </w:p>
    <w:p w14:paraId="4E72A818" w14:textId="77777777" w:rsidR="00BF68C6" w:rsidRDefault="00BF68C6" w:rsidP="00BF68C6">
      <w:pPr>
        <w:pStyle w:val="Standard"/>
        <w:widowControl w:val="0"/>
        <w:suppressAutoHyphens w:val="0"/>
        <w:spacing w:before="120" w:after="120"/>
        <w:rPr>
          <w:rFonts w:cs="Arial"/>
          <w:iCs/>
          <w:szCs w:val="20"/>
          <w:lang w:val="cs-CZ"/>
        </w:rPr>
      </w:pPr>
    </w:p>
    <w:p w14:paraId="7AAD683C" w14:textId="77777777" w:rsidR="00BF68C6" w:rsidRPr="007D2D4A" w:rsidRDefault="00BF68C6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lastRenderedPageBreak/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19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20" w:history="1">
        <w:r w:rsidRPr="000E412E">
          <w:rPr>
            <w:rStyle w:val="Hypertextovodkaz"/>
            <w:rFonts w:cs="Arial"/>
            <w:kern w:val="1"/>
            <w:szCs w:val="20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9886" w14:textId="77777777" w:rsidR="00C45AEE" w:rsidRDefault="00C45AEE" w:rsidP="00AF7F5A">
      <w:r>
        <w:separator/>
      </w:r>
    </w:p>
  </w:endnote>
  <w:endnote w:type="continuationSeparator" w:id="0">
    <w:p w14:paraId="2CE8B454" w14:textId="77777777" w:rsidR="00C45AEE" w:rsidRDefault="00C45AEE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42F" w14:textId="77777777" w:rsidR="00C45AEE" w:rsidRDefault="00C45AEE" w:rsidP="00AF7F5A">
      <w:r>
        <w:separator/>
      </w:r>
    </w:p>
  </w:footnote>
  <w:footnote w:type="continuationSeparator" w:id="0">
    <w:p w14:paraId="7CBA3A8C" w14:textId="77777777" w:rsidR="00C45AEE" w:rsidRDefault="00C45AEE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48D2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647F5"/>
    <w:rsid w:val="00171030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43DB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C119E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878AD"/>
    <w:rsid w:val="005A1E70"/>
    <w:rsid w:val="005A632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76E2F"/>
    <w:rsid w:val="00B94938"/>
    <w:rsid w:val="00BB55B1"/>
    <w:rsid w:val="00BF68C6"/>
    <w:rsid w:val="00C173B8"/>
    <w:rsid w:val="00C26B10"/>
    <w:rsid w:val="00C41A7C"/>
    <w:rsid w:val="00C441FA"/>
    <w:rsid w:val="00C45AEE"/>
    <w:rsid w:val="00C555A9"/>
    <w:rsid w:val="00C57AAC"/>
    <w:rsid w:val="00C611B3"/>
    <w:rsid w:val="00C6269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2584E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B4AA2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Standardnpsmoodstavce"/>
    <w:rsid w:val="00BF68C6"/>
  </w:style>
  <w:style w:type="character" w:customStyle="1" w:styleId="comma-separator">
    <w:name w:val="comma-separator"/>
    <w:basedOn w:val="Standardnpsmoodstavce"/>
    <w:rsid w:val="00BF68C6"/>
  </w:style>
  <w:style w:type="character" w:customStyle="1" w:styleId="epub-state">
    <w:name w:val="epub-state"/>
    <w:basedOn w:val="Standardnpsmoodstavce"/>
    <w:rsid w:val="00BF68C6"/>
  </w:style>
  <w:style w:type="character" w:customStyle="1" w:styleId="epub-date">
    <w:name w:val="epub-date"/>
    <w:basedOn w:val="Standardnpsmoodstavce"/>
    <w:rsid w:val="00BF68C6"/>
  </w:style>
  <w:style w:type="paragraph" w:styleId="Odstavecseseznamem">
    <w:name w:val="List Paragraph"/>
    <w:basedOn w:val="Normln"/>
    <w:uiPriority w:val="34"/>
    <w:qFormat/>
    <w:rsid w:val="00BF68C6"/>
    <w:pPr>
      <w:ind w:left="720"/>
      <w:contextualSpacing/>
    </w:pPr>
  </w:style>
  <w:style w:type="paragraph" w:styleId="Revize">
    <w:name w:val="Revision"/>
    <w:hidden/>
    <w:uiPriority w:val="99"/>
    <w:semiHidden/>
    <w:rsid w:val="00C62693"/>
    <w:rPr>
      <w:rFonts w:ascii="Arial" w:hAnsi="Arial"/>
      <w:sz w:val="20"/>
    </w:rPr>
  </w:style>
  <w:style w:type="character" w:customStyle="1" w:styleId="author">
    <w:name w:val="author"/>
    <w:basedOn w:val="Standardnpsmoodstavce"/>
    <w:rsid w:val="00FB4AA2"/>
  </w:style>
  <w:style w:type="character" w:customStyle="1" w:styleId="pubyear">
    <w:name w:val="pubyear"/>
    <w:basedOn w:val="Standardnpsmoodstavce"/>
    <w:rsid w:val="00FB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Bellov%C3%A1/Simona" TargetMode="External"/><Relationship Id="rId13" Type="http://schemas.openxmlformats.org/officeDocument/2006/relationships/hyperlink" Target="https://onlinelibrary.wiley.com/authored-by/Dvo%C5%99%C3%A1kov%C3%A1/Alexandra" TargetMode="External"/><Relationship Id="rId18" Type="http://schemas.openxmlformats.org/officeDocument/2006/relationships/hyperlink" Target="https://doi.org/10.1002/anie.20230682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onlinelibrary.wiley.com/authored-by/%C5%A0lachtov%C3%A1/Veronika" TargetMode="External"/><Relationship Id="rId12" Type="http://schemas.openxmlformats.org/officeDocument/2006/relationships/hyperlink" Target="https://onlinelibrary.wiley.com/authored-by/Chalupsk%C3%BD/Karel" TargetMode="External"/><Relationship Id="rId17" Type="http://schemas.openxmlformats.org/officeDocument/2006/relationships/hyperlink" Target="https://onlinelibrary.wiley.com/authored-by/Vrabel/Mil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uthored-by/Dzijak/Rastislav" TargetMode="External"/><Relationship Id="rId20" Type="http://schemas.openxmlformats.org/officeDocument/2006/relationships/hyperlink" Target="mailto:veronika.sedlackova@uochb.cas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authored-by/Dra%C4%8D%C3%ADnsk%C3%BD/Marti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authored-by/Rukovansk%C3%BD/Peter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nlinelibrary.wiley.com/authored-by/Galeta/Juraj" TargetMode="External"/><Relationship Id="rId19" Type="http://schemas.openxmlformats.org/officeDocument/2006/relationships/hyperlink" Target="http://www.uoc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La%E2%80%90Venia/Agustina" TargetMode="External"/><Relationship Id="rId14" Type="http://schemas.openxmlformats.org/officeDocument/2006/relationships/hyperlink" Target="https://onlinelibrary.wiley.com/authored-by/Mertl%C3%ADkov%C3%A1%E2%80%90Kaiserov%C3%A1/Helen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684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8</cp:revision>
  <cp:lastPrinted>2017-08-09T12:51:00Z</cp:lastPrinted>
  <dcterms:created xsi:type="dcterms:W3CDTF">2023-08-01T10:08:00Z</dcterms:created>
  <dcterms:modified xsi:type="dcterms:W3CDTF">2023-08-01T10:33:00Z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