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34" w:rsidRDefault="00637334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:rsidR="00637334" w:rsidRDefault="00442419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Výsledky unikátního evropského projektu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UniSAFE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k obtěžování  a násilí na univerzitách: téměř 2 z 3 lidí s ním mají nějakou zkušenost</w:t>
      </w:r>
    </w:p>
    <w:p w:rsidR="00637334" w:rsidRDefault="00442419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  <w:t xml:space="preserve">25. listopadu 2022, Praha | NKC – gender a věda Sociologického ústavu AV ČR </w:t>
      </w:r>
      <w:proofErr w:type="spellStart"/>
      <w:r w:rsidR="00D263BD">
        <w:rPr>
          <w:rFonts w:ascii="Arial" w:eastAsia="Arial" w:hAnsi="Arial" w:cs="Arial"/>
          <w:b/>
        </w:rPr>
        <w:t>uspořdalo</w:t>
      </w:r>
      <w:proofErr w:type="spellEnd"/>
      <w:r w:rsidR="00D263BD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</w:rPr>
        <w:t>24. a 25. listopadu 2022 v Praze mezinárodní konferenci s názvem „</w:t>
      </w:r>
      <w:proofErr w:type="spellStart"/>
      <w:r>
        <w:rPr>
          <w:rFonts w:ascii="Arial" w:eastAsia="Arial" w:hAnsi="Arial" w:cs="Arial"/>
          <w:b/>
          <w:i/>
        </w:rPr>
        <w:t>Ending</w:t>
      </w:r>
      <w:proofErr w:type="spellEnd"/>
      <w:r>
        <w:rPr>
          <w:rFonts w:ascii="Arial" w:eastAsia="Arial" w:hAnsi="Arial" w:cs="Arial"/>
          <w:b/>
          <w:i/>
        </w:rPr>
        <w:t xml:space="preserve"> gender-</w:t>
      </w:r>
      <w:proofErr w:type="spellStart"/>
      <w:r>
        <w:rPr>
          <w:rFonts w:ascii="Arial" w:eastAsia="Arial" w:hAnsi="Arial" w:cs="Arial"/>
          <w:b/>
          <w:i/>
        </w:rPr>
        <w:t>based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violence</w:t>
      </w:r>
      <w:proofErr w:type="spellEnd"/>
      <w:r>
        <w:rPr>
          <w:rFonts w:ascii="Arial" w:eastAsia="Arial" w:hAnsi="Arial" w:cs="Arial"/>
          <w:b/>
          <w:i/>
        </w:rPr>
        <w:t xml:space="preserve"> in academia: </w:t>
      </w:r>
      <w:proofErr w:type="spellStart"/>
      <w:r>
        <w:rPr>
          <w:rFonts w:ascii="Arial" w:eastAsia="Arial" w:hAnsi="Arial" w:cs="Arial"/>
          <w:b/>
          <w:i/>
        </w:rPr>
        <w:t>Toward</w:t>
      </w:r>
      <w:proofErr w:type="spellEnd"/>
      <w:r>
        <w:rPr>
          <w:rFonts w:ascii="Arial" w:eastAsia="Arial" w:hAnsi="Arial" w:cs="Arial"/>
          <w:b/>
          <w:i/>
        </w:rPr>
        <w:t xml:space="preserve"> gender-</w:t>
      </w:r>
      <w:proofErr w:type="spellStart"/>
      <w:r>
        <w:rPr>
          <w:rFonts w:ascii="Arial" w:eastAsia="Arial" w:hAnsi="Arial" w:cs="Arial"/>
          <w:b/>
          <w:i/>
        </w:rPr>
        <w:t>equal</w:t>
      </w:r>
      <w:proofErr w:type="spellEnd"/>
      <w:r>
        <w:rPr>
          <w:rFonts w:ascii="Arial" w:eastAsia="Arial" w:hAnsi="Arial" w:cs="Arial"/>
          <w:b/>
          <w:i/>
        </w:rPr>
        <w:t xml:space="preserve">, </w:t>
      </w:r>
      <w:proofErr w:type="spellStart"/>
      <w:r>
        <w:rPr>
          <w:rFonts w:ascii="Arial" w:eastAsia="Arial" w:hAnsi="Arial" w:cs="Arial"/>
          <w:b/>
          <w:i/>
        </w:rPr>
        <w:t>safe</w:t>
      </w:r>
      <w:proofErr w:type="spellEnd"/>
      <w:r>
        <w:rPr>
          <w:rFonts w:ascii="Arial" w:eastAsia="Arial" w:hAnsi="Arial" w:cs="Arial"/>
          <w:b/>
          <w:i/>
        </w:rPr>
        <w:t xml:space="preserve"> and </w:t>
      </w:r>
      <w:proofErr w:type="spellStart"/>
      <w:r>
        <w:rPr>
          <w:rFonts w:ascii="Arial" w:eastAsia="Arial" w:hAnsi="Arial" w:cs="Arial"/>
          <w:b/>
          <w:i/>
        </w:rPr>
        <w:t>inclusive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research</w:t>
      </w:r>
      <w:proofErr w:type="spellEnd"/>
      <w:r>
        <w:rPr>
          <w:rFonts w:ascii="Arial" w:eastAsia="Arial" w:hAnsi="Arial" w:cs="Arial"/>
          <w:b/>
          <w:i/>
        </w:rPr>
        <w:t xml:space="preserve"> and </w:t>
      </w:r>
      <w:proofErr w:type="spellStart"/>
      <w:r>
        <w:rPr>
          <w:rFonts w:ascii="Arial" w:eastAsia="Arial" w:hAnsi="Arial" w:cs="Arial"/>
          <w:b/>
          <w:i/>
        </w:rPr>
        <w:t>higher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education</w:t>
      </w:r>
      <w:proofErr w:type="spellEnd"/>
      <w:r>
        <w:rPr>
          <w:rFonts w:ascii="Arial" w:eastAsia="Arial" w:hAnsi="Arial" w:cs="Arial"/>
          <w:b/>
        </w:rPr>
        <w:t xml:space="preserve">“. Zaměřuje se na sexuální obtěžování a násilí na vysokých školách a koná se v rámci českého předsednictví v Radě EU. Záštitu nad konferencí převzalo Ministerstvo školství, mládeže a tělovýchovy ČR. Včera na konferenci zazněly také výsledky unikátního projektu </w:t>
      </w:r>
      <w:proofErr w:type="spellStart"/>
      <w:r>
        <w:rPr>
          <w:rFonts w:ascii="Arial" w:eastAsia="Arial" w:hAnsi="Arial" w:cs="Arial"/>
          <w:b/>
        </w:rPr>
        <w:t>UniSAFE</w:t>
      </w:r>
      <w:proofErr w:type="spellEnd"/>
      <w:r>
        <w:rPr>
          <w:rFonts w:ascii="Arial" w:eastAsia="Arial" w:hAnsi="Arial" w:cs="Arial"/>
          <w:b/>
        </w:rPr>
        <w:t xml:space="preserve">, který mapoval rozšířenost násilí a sexuálního obtěžování na evropských vysokých školách. Ten ukázal, že s nějakou formou tohoto typu násilí se setkaly téměř dvě ze tří osob. Potvrdil také, že častěji jsou mu vystaveni lidé, kteří čelí znevýhodnění kvůli své etnicitě, </w:t>
      </w:r>
      <w:r w:rsidR="00DE5E5B">
        <w:rPr>
          <w:rFonts w:ascii="Arial" w:eastAsia="Arial" w:hAnsi="Arial" w:cs="Arial"/>
          <w:b/>
        </w:rPr>
        <w:t>zdraví</w:t>
      </w:r>
      <w:r>
        <w:rPr>
          <w:rFonts w:ascii="Arial" w:eastAsia="Arial" w:hAnsi="Arial" w:cs="Arial"/>
          <w:b/>
        </w:rPr>
        <w:t xml:space="preserve"> nebo genderové či sexuální identitě.</w:t>
      </w:r>
    </w:p>
    <w:p w:rsidR="00637334" w:rsidRDefault="00637334">
      <w:pPr>
        <w:spacing w:after="0" w:line="276" w:lineRule="auto"/>
        <w:jc w:val="both"/>
        <w:rPr>
          <w:rFonts w:ascii="Arial" w:eastAsia="Arial" w:hAnsi="Arial" w:cs="Arial"/>
        </w:rPr>
      </w:pP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V Praze se sešli zástupci a zástupkyně odpovědných národních úřadů, vědecko-výzkumných organizací, poskytovatelů finanční podpory na výzkum a inovace a dalších organizací nejen ze zemí EU, ale i z USA a Velké Británie. 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bookmarkStart w:id="2" w:name="_heading=h.c2ezwtt1g7e2" w:colFirst="0" w:colLast="0"/>
      <w:bookmarkEnd w:id="2"/>
      <w:r>
        <w:rPr>
          <w:rFonts w:ascii="Arial" w:eastAsia="Arial" w:hAnsi="Arial" w:cs="Arial"/>
        </w:rPr>
        <w:t xml:space="preserve">Konferenci zahájil ministr školství Vladimír Balaš: „Před problémem násilí a obtěžování na vysokých školách nelze zavírat oči. Ministerstvo školství bere tento problém vážně a tuto konferenci vnímáme jako příležitost pro sdílení zkušeností a dobré praxe mezi relevantními stranami ze zemí EU. Právě mezinárodní spolupráce je klíčová, aby mohly evropské země společně pracovat na bezpečném a respektujícím prostředí v akademické a vědecké sféře. Proto jsem také připojil podpisem svou podporu k výzvě, která je výstupem z této konference a která poukazuje na to, jaké kroky je potřeba pro ukončení násilí a obtěžování v akademickém a vědeckém prostředí podniknout.” 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bookmarkStart w:id="3" w:name="_heading=h.2ejfq1izjce3" w:colFirst="0" w:colLast="0"/>
      <w:bookmarkEnd w:id="3"/>
      <w:r>
        <w:rPr>
          <w:rFonts w:ascii="Arial" w:eastAsia="Arial" w:hAnsi="Arial" w:cs="Arial"/>
        </w:rPr>
        <w:t xml:space="preserve">Na konferenci dostaly prostor také dobrovolnické studentské spolky a iniciativy z několika zemí Evropy. Zastupují jak studující, tak i začínající vědce a vědkyně. Poskytují jim podporu a radí, jak postupovat, pokud se s násilím a obtěžováním setkají. Většina z organizací vznikla jako reakce na případy násilí a obtěžování. Chtějí přispět k řešení tohoto problému, zviditelnit jej a podnítit tak změnu ve vysokoškolském prostředí, které případům nevěnovalo dostatečnou pozornost. Při svých aktivitách se setkávají s překážkami, například pokud jde o nejasné kompetence, neexistující postupy pro řešení násilí na univerzitách, objevuje se i bagatelizace celé problematiky. 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bookmarkStart w:id="4" w:name="_heading=h.at2bgutjsg8d" w:colFirst="0" w:colLast="0"/>
      <w:bookmarkEnd w:id="4"/>
      <w:r>
        <w:rPr>
          <w:rFonts w:ascii="Arial" w:eastAsia="Arial" w:hAnsi="Arial" w:cs="Arial"/>
        </w:rPr>
        <w:t xml:space="preserve">Součástí konference bylo také představení výsledků unikátního celoevropského projektu Horizontu 2020 </w:t>
      </w:r>
      <w:proofErr w:type="spellStart"/>
      <w:r>
        <w:rPr>
          <w:rFonts w:ascii="Arial" w:eastAsia="Arial" w:hAnsi="Arial" w:cs="Arial"/>
        </w:rPr>
        <w:t>UniSAFE</w:t>
      </w:r>
      <w:proofErr w:type="spellEnd"/>
      <w:r>
        <w:rPr>
          <w:rFonts w:ascii="Arial" w:eastAsia="Arial" w:hAnsi="Arial" w:cs="Arial"/>
        </w:rPr>
        <w:t xml:space="preserve">, na kterém se NKC podílí. Tento projekt mapuje problematiku </w:t>
      </w:r>
      <w:proofErr w:type="spellStart"/>
      <w:r>
        <w:rPr>
          <w:rFonts w:ascii="Arial" w:eastAsia="Arial" w:hAnsi="Arial" w:cs="Arial"/>
        </w:rPr>
        <w:t>genderově</w:t>
      </w:r>
      <w:proofErr w:type="spellEnd"/>
      <w:r>
        <w:rPr>
          <w:rFonts w:ascii="Arial" w:eastAsia="Arial" w:hAnsi="Arial" w:cs="Arial"/>
        </w:rPr>
        <w:t xml:space="preserve"> podmíněného násilí a sexuálního obtěžování v akademické sféře na několika úrovních. Zabývá se nejen rozšířeností tohoto problému, ale také postupy, které instituce i jednotlivé země používají k jeho odstranění. Do výzkumu se zapojilo 46 univerzit z 15 zemí Evropy. Šetření zahrnuje odpovědi od více než 42 tisíc osob studujících a pracujících na vysokých školách.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Vedoucí NKC Marcela Linková k výzkumu doplnila: „Jedná se o největší výzkum svého druhu a je opravdu pozitivní, že se do něj zapojilo tolik institucí, které chtějí s projevy násilí bojovat. Z výsledků je zřejmé, že v případě násilí a obtěžování na vysokých školách nejde o selhání několika jednotlivců, ale jednoznačně o systémový problém, který vyžaduje výraznou změnu ve fungování akademického prostředí a jeho kultuře.“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 výzkumu například vyplývá, že s nějakou formou </w:t>
      </w:r>
      <w:proofErr w:type="spellStart"/>
      <w:r>
        <w:rPr>
          <w:rFonts w:ascii="Arial" w:eastAsia="Arial" w:hAnsi="Arial" w:cs="Arial"/>
        </w:rPr>
        <w:t>genderově</w:t>
      </w:r>
      <w:proofErr w:type="spellEnd"/>
      <w:r>
        <w:rPr>
          <w:rFonts w:ascii="Arial" w:eastAsia="Arial" w:hAnsi="Arial" w:cs="Arial"/>
        </w:rPr>
        <w:t xml:space="preserve"> podmíněného násilí se setkaly téměř dvě ze tří osob, konkrétně šlo o 62 %. Ženy se s ním setkaly v 66 % případů. Potvrzuje také, že častěji jsou mu vystaveni lidé, kteří jsou více zranitelní kvůli příslušnosti k LGBTQ+ (68 %), své etnicitě (69 %) nebo zdravotnímu znevýhodnění (72 %). 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Výzkum také popisuje různé formy násilí, které se v akademickém prostředí objevují, nejčastější formou je násilí psychické (57 %) a za ním následuje sexuální obtěžování. S tím se setkala přibližně jedna ze tří osob, přesněji 31 %. Výsledky projektu také ukazují, že pouze 13 % osob případy násilí či obtěžování nahlásí. Součástí projektu </w:t>
      </w:r>
      <w:proofErr w:type="spellStart"/>
      <w:r>
        <w:rPr>
          <w:rFonts w:ascii="Arial" w:eastAsia="Arial" w:hAnsi="Arial" w:cs="Arial"/>
        </w:rPr>
        <w:t>UniSAFE</w:t>
      </w:r>
      <w:proofErr w:type="spellEnd"/>
      <w:r>
        <w:rPr>
          <w:rFonts w:ascii="Arial" w:eastAsia="Arial" w:hAnsi="Arial" w:cs="Arial"/>
        </w:rPr>
        <w:t xml:space="preserve"> je proto i vytvoření systémových řešení a nástrojů, které pomohou v prevenci a při potírání nejen těchto forem násilí a obtěžování.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Cílem konference </w:t>
      </w:r>
      <w:proofErr w:type="spellStart"/>
      <w:r>
        <w:rPr>
          <w:rFonts w:ascii="Arial" w:eastAsia="Arial" w:hAnsi="Arial" w:cs="Arial"/>
        </w:rPr>
        <w:t>Ending</w:t>
      </w:r>
      <w:proofErr w:type="spellEnd"/>
      <w:r>
        <w:rPr>
          <w:rFonts w:ascii="Arial" w:eastAsia="Arial" w:hAnsi="Arial" w:cs="Arial"/>
        </w:rPr>
        <w:t xml:space="preserve"> gender-</w:t>
      </w:r>
      <w:proofErr w:type="spellStart"/>
      <w:r>
        <w:rPr>
          <w:rFonts w:ascii="Arial" w:eastAsia="Arial" w:hAnsi="Arial" w:cs="Arial"/>
        </w:rPr>
        <w:t>based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violence</w:t>
      </w:r>
      <w:proofErr w:type="spellEnd"/>
      <w:r>
        <w:rPr>
          <w:rFonts w:ascii="Arial" w:eastAsia="Arial" w:hAnsi="Arial" w:cs="Arial"/>
        </w:rPr>
        <w:t xml:space="preserve"> in academia je podnítit debatu o opatřeních, která mohou zvýšit ochranu před všemi formami násilí v akademickém prostředí. Nedílnou součástí řešení je oblast politik a legislativy, která by měla poskytovat podporu pro řešení této problematiky. V rámci konference proto vystoupí také Joanna </w:t>
      </w:r>
      <w:proofErr w:type="spellStart"/>
      <w:r>
        <w:rPr>
          <w:rFonts w:ascii="Arial" w:eastAsia="Arial" w:hAnsi="Arial" w:cs="Arial"/>
        </w:rPr>
        <w:t>Drake</w:t>
      </w:r>
      <w:proofErr w:type="spellEnd"/>
      <w:r>
        <w:rPr>
          <w:rFonts w:ascii="Arial" w:eastAsia="Arial" w:hAnsi="Arial" w:cs="Arial"/>
        </w:rPr>
        <w:t>, zástupkyně generálního ředitele z GŘ pro výzkum a inovace Evropské komise. Výstupem z konference je společná výzva, podpořená Min</w:t>
      </w:r>
      <w:r w:rsidR="00B76A97">
        <w:rPr>
          <w:rFonts w:ascii="Arial" w:eastAsia="Arial" w:hAnsi="Arial" w:cs="Arial"/>
        </w:rPr>
        <w:t>is</w:t>
      </w:r>
      <w:r>
        <w:rPr>
          <w:rFonts w:ascii="Arial" w:eastAsia="Arial" w:hAnsi="Arial" w:cs="Arial"/>
        </w:rPr>
        <w:t>terstvem školství, mládeže a tělovýchovy.</w:t>
      </w:r>
    </w:p>
    <w:p w:rsidR="00637334" w:rsidRDefault="00637334">
      <w:pPr>
        <w:spacing w:line="276" w:lineRule="auto"/>
        <w:jc w:val="both"/>
        <w:rPr>
          <w:rFonts w:ascii="Arial" w:eastAsia="Arial" w:hAnsi="Arial" w:cs="Arial"/>
        </w:rPr>
      </w:pP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Podrobnosti o konferenci: </w:t>
      </w:r>
      <w:hyperlink r:id="rId7">
        <w:r>
          <w:rPr>
            <w:rFonts w:ascii="Arial" w:eastAsia="Arial" w:hAnsi="Arial" w:cs="Arial"/>
            <w:color w:val="0563C1"/>
            <w:u w:val="single"/>
          </w:rPr>
          <w:t>www.gbv2022.eu</w:t>
        </w:r>
      </w:hyperlink>
      <w:r>
        <w:rPr>
          <w:rFonts w:ascii="Arial" w:eastAsia="Arial" w:hAnsi="Arial" w:cs="Arial"/>
        </w:rPr>
        <w:t xml:space="preserve"> 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Výstup z konference - Call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Action</w:t>
      </w:r>
      <w:proofErr w:type="spellEnd"/>
      <w:r>
        <w:rPr>
          <w:rFonts w:ascii="Arial" w:eastAsia="Arial" w:hAnsi="Arial" w:cs="Arial"/>
        </w:rPr>
        <w:t xml:space="preserve">: </w:t>
      </w:r>
      <w:hyperlink r:id="rId8">
        <w:r>
          <w:rPr>
            <w:rFonts w:ascii="Arial" w:eastAsia="Arial" w:hAnsi="Arial" w:cs="Arial"/>
            <w:color w:val="1155CC"/>
            <w:u w:val="single"/>
          </w:rPr>
          <w:t>https://bit.ly/3gvzEax</w:t>
        </w:r>
      </w:hyperlink>
      <w:r>
        <w:rPr>
          <w:rFonts w:ascii="Arial" w:eastAsia="Arial" w:hAnsi="Arial" w:cs="Arial"/>
        </w:rPr>
        <w:t xml:space="preserve"> 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Podrobnosti z výzkumu projektu </w:t>
      </w:r>
      <w:proofErr w:type="spellStart"/>
      <w:r>
        <w:rPr>
          <w:rFonts w:ascii="Arial" w:eastAsia="Arial" w:hAnsi="Arial" w:cs="Arial"/>
        </w:rPr>
        <w:t>UniSAFE</w:t>
      </w:r>
      <w:proofErr w:type="spellEnd"/>
      <w:r>
        <w:rPr>
          <w:rFonts w:ascii="Arial" w:eastAsia="Arial" w:hAnsi="Arial" w:cs="Arial"/>
        </w:rPr>
        <w:t xml:space="preserve">: </w:t>
      </w:r>
      <w:hyperlink r:id="rId9">
        <w:r>
          <w:rPr>
            <w:rFonts w:ascii="Arial" w:eastAsia="Arial" w:hAnsi="Arial" w:cs="Arial"/>
            <w:color w:val="0563C1"/>
            <w:u w:val="single"/>
          </w:rPr>
          <w:t>https://bit.ly/3EXN4oV</w:t>
        </w:r>
      </w:hyperlink>
      <w:r>
        <w:rPr>
          <w:rFonts w:ascii="Arial" w:eastAsia="Arial" w:hAnsi="Arial" w:cs="Arial"/>
        </w:rPr>
        <w:t xml:space="preserve"> 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Více o projektu </w:t>
      </w:r>
      <w:proofErr w:type="spellStart"/>
      <w:r>
        <w:rPr>
          <w:rFonts w:ascii="Arial" w:eastAsia="Arial" w:hAnsi="Arial" w:cs="Arial"/>
        </w:rPr>
        <w:t>UniSAFE</w:t>
      </w:r>
      <w:proofErr w:type="spellEnd"/>
      <w:r>
        <w:rPr>
          <w:rFonts w:ascii="Arial" w:eastAsia="Arial" w:hAnsi="Arial" w:cs="Arial"/>
        </w:rPr>
        <w:t xml:space="preserve">: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https://unisafe-gbv.eu/</w:t>
        </w:r>
      </w:hyperlink>
    </w:p>
    <w:p w:rsidR="00637334" w:rsidRDefault="00637334">
      <w:pPr>
        <w:spacing w:line="276" w:lineRule="auto"/>
        <w:jc w:val="both"/>
        <w:rPr>
          <w:rFonts w:ascii="Arial" w:eastAsia="Arial" w:hAnsi="Arial" w:cs="Arial"/>
        </w:rPr>
      </w:pPr>
    </w:p>
    <w:p w:rsidR="00637334" w:rsidRDefault="00442419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Kontakt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Jana Gabrielová, manažerka komunikace NKC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gender a věda, </w:t>
      </w:r>
    </w:p>
    <w:p w:rsidR="00637334" w:rsidRDefault="0044241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tel.: 775 976 390, e-mail: </w:t>
      </w:r>
      <w:hyperlink r:id="rId11">
        <w:r>
          <w:rPr>
            <w:rFonts w:ascii="Arial" w:eastAsia="Arial" w:hAnsi="Arial" w:cs="Arial"/>
            <w:color w:val="0563C1"/>
            <w:u w:val="single"/>
          </w:rPr>
          <w:t>jana.gabrielova@soc.cas.cz</w:t>
        </w:r>
      </w:hyperlink>
    </w:p>
    <w:p w:rsidR="009339EC" w:rsidRDefault="009339E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637334" w:rsidRDefault="0044241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Akce probíhá v rámci projektu sdílených činností CZERA financovaného MŠMT (identifikační kód MS2103).</w:t>
      </w:r>
    </w:p>
    <w:sectPr w:rsidR="00637334">
      <w:headerReference w:type="default" r:id="rId12"/>
      <w:footerReference w:type="default" r:id="rId13"/>
      <w:pgSz w:w="11906" w:h="16838"/>
      <w:pgMar w:top="2268" w:right="1134" w:bottom="1418" w:left="1134" w:header="68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5E" w:rsidRDefault="00B0065E">
      <w:pPr>
        <w:spacing w:after="0" w:line="240" w:lineRule="auto"/>
      </w:pPr>
      <w:r>
        <w:separator/>
      </w:r>
    </w:p>
  </w:endnote>
  <w:endnote w:type="continuationSeparator" w:id="0">
    <w:p w:rsidR="00B0065E" w:rsidRDefault="00B0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34" w:rsidRDefault="00637334"/>
  <w:tbl>
    <w:tblPr>
      <w:tblStyle w:val="a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80"/>
      <w:gridCol w:w="2900"/>
      <w:gridCol w:w="2892"/>
    </w:tblGrid>
    <w:tr w:rsidR="00637334">
      <w:trPr>
        <w:trHeight w:val="851"/>
      </w:trPr>
      <w:tc>
        <w:tcPr>
          <w:tcW w:w="3280" w:type="dxa"/>
        </w:tcPr>
        <w:p w:rsidR="00637334" w:rsidRDefault="00442419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NKC -gender a věda</w:t>
          </w:r>
        </w:p>
        <w:p w:rsidR="00637334" w:rsidRDefault="00442419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Sociologický ústav AV ČR, v. v. i.</w:t>
          </w:r>
        </w:p>
        <w:p w:rsidR="00637334" w:rsidRDefault="00442419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Jilská 361/1, 110 00 Praha 1</w:t>
          </w:r>
        </w:p>
        <w:p w:rsidR="00637334" w:rsidRDefault="00442419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www.genderaveda.cz</w:t>
          </w:r>
        </w:p>
        <w:p w:rsidR="00637334" w:rsidRDefault="00637334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</w:p>
      </w:tc>
      <w:tc>
        <w:tcPr>
          <w:tcW w:w="2900" w:type="dxa"/>
        </w:tcPr>
        <w:p w:rsidR="00637334" w:rsidRDefault="00442419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T: +420 210 310 322</w:t>
          </w:r>
          <w:r>
            <w:rPr>
              <w:rFonts w:ascii="Arial" w:eastAsia="Arial" w:hAnsi="Arial" w:cs="Arial"/>
              <w:color w:val="0072B6"/>
              <w:sz w:val="20"/>
              <w:szCs w:val="20"/>
            </w:rPr>
            <w:br/>
            <w:t>E: nkc@soc.cas.cz</w:t>
          </w:r>
        </w:p>
      </w:tc>
      <w:tc>
        <w:tcPr>
          <w:tcW w:w="2892" w:type="dxa"/>
        </w:tcPr>
        <w:p w:rsidR="00637334" w:rsidRDefault="006373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Arial" w:eastAsia="Arial" w:hAnsi="Arial" w:cs="Arial"/>
              <w:color w:val="0072B6"/>
              <w:sz w:val="20"/>
              <w:szCs w:val="20"/>
            </w:rPr>
          </w:pPr>
        </w:p>
        <w:p w:rsidR="00637334" w:rsidRDefault="004424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 xml:space="preserve">Strana </w: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separate"/>
          </w:r>
          <w:r w:rsidR="00D263BD">
            <w:rPr>
              <w:rFonts w:ascii="Arial" w:eastAsia="Arial" w:hAnsi="Arial" w:cs="Arial"/>
              <w:b/>
              <w:noProof/>
              <w:color w:val="0072B6"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72B6"/>
              <w:sz w:val="20"/>
              <w:szCs w:val="20"/>
            </w:rPr>
            <w:t>/</w: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separate"/>
          </w:r>
          <w:r w:rsidR="00D263BD">
            <w:rPr>
              <w:rFonts w:ascii="Arial" w:eastAsia="Arial" w:hAnsi="Arial" w:cs="Arial"/>
              <w:b/>
              <w:noProof/>
              <w:color w:val="0072B6"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end"/>
          </w:r>
        </w:p>
        <w:p w:rsidR="00637334" w:rsidRDefault="00637334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</w:p>
      </w:tc>
    </w:tr>
  </w:tbl>
  <w:p w:rsidR="00637334" w:rsidRDefault="00442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1967229</wp:posOffset>
          </wp:positionH>
          <wp:positionV relativeFrom="paragraph">
            <wp:posOffset>-1082674</wp:posOffset>
          </wp:positionV>
          <wp:extent cx="4225925" cy="1054735"/>
          <wp:effectExtent l="0" t="0" r="0" b="0"/>
          <wp:wrapNone/>
          <wp:docPr id="5" name="image3.jpg" descr="vekto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vekto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5E" w:rsidRDefault="00B0065E">
      <w:pPr>
        <w:spacing w:after="0" w:line="240" w:lineRule="auto"/>
      </w:pPr>
      <w:r>
        <w:separator/>
      </w:r>
    </w:p>
  </w:footnote>
  <w:footnote w:type="continuationSeparator" w:id="0">
    <w:p w:rsidR="00B0065E" w:rsidRDefault="00B0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34" w:rsidRDefault="00442419"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244376</wp:posOffset>
          </wp:positionV>
          <wp:extent cx="1867675" cy="454798"/>
          <wp:effectExtent l="0" t="0" r="0" b="0"/>
          <wp:wrapNone/>
          <wp:docPr id="6" name="image1.jpg" descr="logo_S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SO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7675" cy="45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2091690</wp:posOffset>
          </wp:positionH>
          <wp:positionV relativeFrom="paragraph">
            <wp:posOffset>207009</wp:posOffset>
          </wp:positionV>
          <wp:extent cx="2400935" cy="48831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935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7334" w:rsidRDefault="00442419">
    <w:pPr>
      <w:jc w:val="right"/>
      <w:rPr>
        <w:rFonts w:ascii="Arial" w:eastAsia="Arial" w:hAnsi="Arial" w:cs="Arial"/>
        <w:b/>
        <w:color w:val="0072B6"/>
        <w:sz w:val="24"/>
        <w:szCs w:val="24"/>
      </w:rPr>
    </w:pPr>
    <w:r>
      <w:rPr>
        <w:rFonts w:ascii="Arial" w:eastAsia="Arial" w:hAnsi="Arial" w:cs="Arial"/>
        <w:b/>
        <w:color w:val="0072B6"/>
        <w:sz w:val="24"/>
        <w:szCs w:val="24"/>
      </w:rPr>
      <w:br/>
    </w:r>
  </w:p>
  <w:p w:rsidR="00637334" w:rsidRDefault="00442419">
    <w:pPr>
      <w:jc w:val="right"/>
    </w:pPr>
    <w:r>
      <w:rPr>
        <w:rFonts w:ascii="Arial" w:eastAsia="Arial" w:hAnsi="Arial" w:cs="Arial"/>
        <w:b/>
        <w:color w:val="0072B6"/>
        <w:sz w:val="24"/>
        <w:szCs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34"/>
    <w:rsid w:val="003D610A"/>
    <w:rsid w:val="00442419"/>
    <w:rsid w:val="004802EF"/>
    <w:rsid w:val="00637334"/>
    <w:rsid w:val="007B1638"/>
    <w:rsid w:val="009339EC"/>
    <w:rsid w:val="00B0065E"/>
    <w:rsid w:val="00B76A97"/>
    <w:rsid w:val="00D263BD"/>
    <w:rsid w:val="00DE5E5B"/>
    <w:rsid w:val="00E9013A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7D80"/>
  <w15:docId w15:val="{431A213D-3F02-471E-83CD-3349BCE2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0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45A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vzEa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bv2022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a.gabrielova@soc.ca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isafe-gbv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EXN4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+VpYJttoL6TYfb4VNn7jWrOLsQ==">AMUW2mWQJ4IQt4pO9JBVxEslv+M3i4IT0V9lij/pisJQeNWRXZ93NsdBNCnrxmzOjTh90HunztI7mRZm2RMuuMQbb7aGG/hFia9dMdWnF2jLNl5SLbewUYxcoJz/omDw3YH7hmOPdLrgy1Co8nISWAgRncAoqS6ErrRSSPZicTSBxbj4ieNT1BgcCZAiTikBjHsRjR0q6Kty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filip.lachmann</dc:creator>
  <cp:lastModifiedBy>Jana Gabrielová</cp:lastModifiedBy>
  <cp:revision>8</cp:revision>
  <dcterms:created xsi:type="dcterms:W3CDTF">2022-11-21T15:23:00Z</dcterms:created>
  <dcterms:modified xsi:type="dcterms:W3CDTF">2022-11-25T11:11:00Z</dcterms:modified>
</cp:coreProperties>
</file>