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1309" w14:textId="77777777" w:rsidR="000E3573" w:rsidRDefault="000E3573" w:rsidP="0062236B">
      <w:pPr>
        <w:spacing w:line="276" w:lineRule="auto"/>
        <w:jc w:val="center"/>
        <w:rPr>
          <w:rFonts w:ascii="Arial" w:hAnsi="Arial" w:cs="Arial"/>
          <w:b/>
          <w:sz w:val="28"/>
        </w:rPr>
      </w:pPr>
    </w:p>
    <w:p w14:paraId="4FA1707B" w14:textId="77777777" w:rsidR="00BA045A" w:rsidRDefault="00BA045A" w:rsidP="00BA045A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BA045A">
        <w:rPr>
          <w:rFonts w:ascii="Arial" w:hAnsi="Arial" w:cs="Arial"/>
          <w:b/>
          <w:sz w:val="28"/>
        </w:rPr>
        <w:t>Jedna velikost všem opravdu nestačí. I ve vědě a výzkumu je třeba pracovat s rozdílností lidí a jejich potřeb</w:t>
      </w:r>
    </w:p>
    <w:p w14:paraId="128D3BBD" w14:textId="123D16B7" w:rsidR="0062236B" w:rsidRPr="00AA7C18" w:rsidRDefault="001360AD" w:rsidP="0062236B">
      <w:pPr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br/>
      </w:r>
      <w:r w:rsidR="00BA045A">
        <w:rPr>
          <w:rFonts w:ascii="Arial" w:hAnsi="Arial" w:cs="Arial"/>
          <w:b/>
        </w:rPr>
        <w:t>8</w:t>
      </w:r>
      <w:r w:rsidR="0062236B" w:rsidRPr="0062236B">
        <w:rPr>
          <w:rFonts w:ascii="Arial" w:hAnsi="Arial" w:cs="Arial"/>
          <w:b/>
        </w:rPr>
        <w:t xml:space="preserve">. </w:t>
      </w:r>
      <w:r w:rsidR="00BA045A">
        <w:rPr>
          <w:rFonts w:ascii="Arial" w:hAnsi="Arial" w:cs="Arial"/>
          <w:b/>
        </w:rPr>
        <w:t>března</w:t>
      </w:r>
      <w:r w:rsidR="0062236B" w:rsidRPr="0062236B">
        <w:rPr>
          <w:rFonts w:ascii="Arial" w:hAnsi="Arial" w:cs="Arial"/>
          <w:b/>
        </w:rPr>
        <w:t xml:space="preserve"> 20</w:t>
      </w:r>
      <w:r w:rsidR="00BA045A">
        <w:rPr>
          <w:rFonts w:ascii="Arial" w:hAnsi="Arial" w:cs="Arial"/>
          <w:b/>
        </w:rPr>
        <w:t>22</w:t>
      </w:r>
      <w:r w:rsidR="0062236B" w:rsidRPr="0062236B">
        <w:rPr>
          <w:rFonts w:ascii="Arial" w:hAnsi="Arial" w:cs="Arial"/>
          <w:b/>
        </w:rPr>
        <w:t xml:space="preserve">, Praha | </w:t>
      </w:r>
      <w:r w:rsidR="00354140" w:rsidRPr="00954FFD">
        <w:rPr>
          <w:rFonts w:ascii="Arial" w:hAnsi="Arial" w:cs="Arial"/>
          <w:b/>
        </w:rPr>
        <w:t>Národní kontaktní centrum – gender a věda</w:t>
      </w:r>
      <w:r w:rsidR="00BA045A">
        <w:rPr>
          <w:rFonts w:ascii="Arial" w:hAnsi="Arial" w:cs="Arial"/>
          <w:b/>
        </w:rPr>
        <w:t xml:space="preserve"> (NKC)</w:t>
      </w:r>
      <w:r w:rsidR="00354140" w:rsidRPr="00954FFD">
        <w:rPr>
          <w:rFonts w:ascii="Arial" w:hAnsi="Arial" w:cs="Arial"/>
          <w:b/>
        </w:rPr>
        <w:t>, odděl</w:t>
      </w:r>
      <w:r w:rsidR="000F15C4" w:rsidRPr="00954FFD">
        <w:rPr>
          <w:rFonts w:ascii="Arial" w:hAnsi="Arial" w:cs="Arial"/>
          <w:b/>
        </w:rPr>
        <w:t>e</w:t>
      </w:r>
      <w:r w:rsidR="00354140" w:rsidRPr="00954FFD">
        <w:rPr>
          <w:rFonts w:ascii="Arial" w:hAnsi="Arial" w:cs="Arial"/>
          <w:b/>
        </w:rPr>
        <w:t xml:space="preserve">ní Sociologického ústavu Akademie věd </w:t>
      </w:r>
      <w:proofErr w:type="gramStart"/>
      <w:r w:rsidR="000F15C4" w:rsidRPr="00954FFD">
        <w:rPr>
          <w:rFonts w:ascii="Arial" w:hAnsi="Arial" w:cs="Arial"/>
          <w:b/>
        </w:rPr>
        <w:t xml:space="preserve">ČR </w:t>
      </w:r>
      <w:r w:rsidR="00BA045A" w:rsidRPr="00BA045A">
        <w:rPr>
          <w:rFonts w:ascii="Arial" w:hAnsi="Arial" w:cs="Arial"/>
          <w:b/>
        </w:rPr>
        <w:t xml:space="preserve"> zahajuje</w:t>
      </w:r>
      <w:proofErr w:type="gramEnd"/>
      <w:r w:rsidR="00BA045A" w:rsidRPr="00BA045A">
        <w:rPr>
          <w:rFonts w:ascii="Arial" w:hAnsi="Arial" w:cs="Arial"/>
          <w:b/>
        </w:rPr>
        <w:t xml:space="preserve"> dnes kampaň nazvanou </w:t>
      </w:r>
      <w:r w:rsidR="00BA045A">
        <w:rPr>
          <w:rFonts w:ascii="Arial" w:hAnsi="Arial" w:cs="Arial"/>
          <w:b/>
        </w:rPr>
        <w:t>„</w:t>
      </w:r>
      <w:r w:rsidR="00BA045A" w:rsidRPr="00BA045A">
        <w:rPr>
          <w:rFonts w:ascii="Arial" w:hAnsi="Arial" w:cs="Arial"/>
          <w:b/>
        </w:rPr>
        <w:t>Jedna velikost nestačí.</w:t>
      </w:r>
      <w:r w:rsidR="00BA045A">
        <w:rPr>
          <w:rFonts w:ascii="Arial" w:hAnsi="Arial" w:cs="Arial"/>
          <w:b/>
        </w:rPr>
        <w:t>“</w:t>
      </w:r>
      <w:r w:rsidR="00BA045A" w:rsidRPr="00BA045A">
        <w:rPr>
          <w:rFonts w:ascii="Arial" w:hAnsi="Arial" w:cs="Arial"/>
          <w:b/>
        </w:rPr>
        <w:t xml:space="preserve"> NKC se tak zapojuje do </w:t>
      </w:r>
      <w:proofErr w:type="gramStart"/>
      <w:r w:rsidR="00BA045A" w:rsidRPr="00BA045A">
        <w:rPr>
          <w:rFonts w:ascii="Arial" w:hAnsi="Arial" w:cs="Arial"/>
          <w:b/>
        </w:rPr>
        <w:t>celosvětových</w:t>
      </w:r>
      <w:r w:rsidR="00E55F89">
        <w:rPr>
          <w:rFonts w:ascii="Arial" w:hAnsi="Arial" w:cs="Arial"/>
          <w:b/>
        </w:rPr>
        <w:t xml:space="preserve"> </w:t>
      </w:r>
      <w:r w:rsidR="00BA045A" w:rsidRPr="00BA045A">
        <w:rPr>
          <w:rFonts w:ascii="Arial" w:hAnsi="Arial" w:cs="Arial"/>
          <w:b/>
        </w:rPr>
        <w:t xml:space="preserve"> oslav</w:t>
      </w:r>
      <w:proofErr w:type="gramEnd"/>
      <w:r w:rsidR="00BA045A" w:rsidRPr="00BA045A">
        <w:rPr>
          <w:rFonts w:ascii="Arial" w:hAnsi="Arial" w:cs="Arial"/>
          <w:b/>
        </w:rPr>
        <w:t xml:space="preserve"> mezinárodního dne žen, které má letos téma </w:t>
      </w:r>
      <w:proofErr w:type="spellStart"/>
      <w:r w:rsidR="00BA045A" w:rsidRPr="00BA045A">
        <w:rPr>
          <w:rFonts w:ascii="Arial" w:hAnsi="Arial" w:cs="Arial"/>
          <w:b/>
        </w:rPr>
        <w:t>Break</w:t>
      </w:r>
      <w:proofErr w:type="spellEnd"/>
      <w:r w:rsidR="00BA045A" w:rsidRPr="00BA045A">
        <w:rPr>
          <w:rFonts w:ascii="Arial" w:hAnsi="Arial" w:cs="Arial"/>
          <w:b/>
        </w:rPr>
        <w:t xml:space="preserve"> </w:t>
      </w:r>
      <w:proofErr w:type="spellStart"/>
      <w:r w:rsidR="00BA045A" w:rsidRPr="00BA045A">
        <w:rPr>
          <w:rFonts w:ascii="Arial" w:hAnsi="Arial" w:cs="Arial"/>
          <w:b/>
        </w:rPr>
        <w:t>The</w:t>
      </w:r>
      <w:proofErr w:type="spellEnd"/>
      <w:r w:rsidR="00BA045A" w:rsidRPr="00BA045A">
        <w:rPr>
          <w:rFonts w:ascii="Arial" w:hAnsi="Arial" w:cs="Arial"/>
          <w:b/>
        </w:rPr>
        <w:t xml:space="preserve"> </w:t>
      </w:r>
      <w:proofErr w:type="spellStart"/>
      <w:r w:rsidR="00BA045A" w:rsidRPr="00BA045A">
        <w:rPr>
          <w:rFonts w:ascii="Arial" w:hAnsi="Arial" w:cs="Arial"/>
          <w:b/>
        </w:rPr>
        <w:t>Bias</w:t>
      </w:r>
      <w:proofErr w:type="spellEnd"/>
      <w:r w:rsidR="00BA045A" w:rsidRPr="00BA045A">
        <w:rPr>
          <w:rFonts w:ascii="Arial" w:hAnsi="Arial" w:cs="Arial"/>
          <w:b/>
        </w:rPr>
        <w:t>. Kampaň NKC má za cíl ukázat veřejnosti, že navzdory předpokladům nejsou výsledky vědy a výzkumu vždy stejně přínosné pro všechny. Vědecké výstupy vznikající pro „univerzálního“ člověka, kterým je stále mnohdy muž, v řadě případů opomíjí odlišnost potřeb žen i dalších, kteří tomuto modelu neodpovídají, například z důvodu genderu, věku, etnicity nebo jiných proměnných. Takové výsledky však mohou část populace nejen znevýhodňovat, ale i ohrožovat na zdraví či životě, ať už jde o diagnostiku infarktu, nárazové testy vozidel nebo další oblasti vědy a výzkumu.</w:t>
      </w:r>
      <w:r w:rsidR="00AD016F">
        <w:rPr>
          <w:rFonts w:ascii="Arial" w:hAnsi="Arial" w:cs="Arial"/>
          <w:i/>
        </w:rPr>
        <w:t xml:space="preserve"> </w:t>
      </w:r>
    </w:p>
    <w:p w14:paraId="4F39865E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</w:rPr>
      </w:pPr>
    </w:p>
    <w:p w14:paraId="165B3BF1" w14:textId="2D0235D1" w:rsidR="00BA045A" w:rsidRPr="00BA045A" w:rsidRDefault="00BA045A" w:rsidP="00BA045A">
      <w:pPr>
        <w:spacing w:line="276" w:lineRule="auto"/>
        <w:jc w:val="both"/>
        <w:rPr>
          <w:rFonts w:ascii="Arial" w:hAnsi="Arial" w:cs="Arial"/>
        </w:rPr>
      </w:pPr>
      <w:r w:rsidRPr="00BA045A">
        <w:rPr>
          <w:rFonts w:ascii="Arial" w:hAnsi="Arial" w:cs="Arial"/>
        </w:rPr>
        <w:t>„U oblečení nebo bot nám přijde zcela jasné a automatické, že různí li</w:t>
      </w:r>
      <w:r w:rsidR="0010353B">
        <w:rPr>
          <w:rFonts w:ascii="Arial" w:hAnsi="Arial" w:cs="Arial"/>
        </w:rPr>
        <w:t>dé potřebují různé velikosti. V </w:t>
      </w:r>
      <w:r w:rsidRPr="00BA045A">
        <w:rPr>
          <w:rFonts w:ascii="Arial" w:hAnsi="Arial" w:cs="Arial"/>
        </w:rPr>
        <w:t>případě vědy ale stále vládne představa, že její výstupy jsou univerzální a slouží všem stejně dobře. Bohužel tomu tak není a existuje řada konkrétních případů, kdy se ukázalo, že je velkou chybou pracovat s představou „univerzálního člověka“. Rády bychom proto laické i odborné veřejnosti ukázaly, proč má smysl ve vědě a výzkumu reflektovat různ</w:t>
      </w:r>
      <w:r>
        <w:rPr>
          <w:rFonts w:ascii="Arial" w:hAnsi="Arial" w:cs="Arial"/>
        </w:rPr>
        <w:t>orodost lidí a jejich potřeb, a </w:t>
      </w:r>
      <w:r w:rsidRPr="00BA045A">
        <w:rPr>
          <w:rFonts w:ascii="Arial" w:hAnsi="Arial" w:cs="Arial"/>
        </w:rPr>
        <w:t>jak může tento přístup napomoci zlepšit vědecké výstupy,“ doplnila ke kampani Markéta Brabcová z NKC - gender a věda.</w:t>
      </w:r>
    </w:p>
    <w:p w14:paraId="451750F6" w14:textId="1648A2EE" w:rsidR="00BA045A" w:rsidRPr="00BA045A" w:rsidRDefault="00BA045A" w:rsidP="00BA045A">
      <w:pPr>
        <w:spacing w:line="276" w:lineRule="auto"/>
        <w:jc w:val="both"/>
        <w:rPr>
          <w:rFonts w:ascii="Arial" w:hAnsi="Arial" w:cs="Arial"/>
        </w:rPr>
      </w:pPr>
      <w:r w:rsidRPr="00BA045A">
        <w:rPr>
          <w:rFonts w:ascii="Arial" w:hAnsi="Arial" w:cs="Arial"/>
        </w:rPr>
        <w:t xml:space="preserve">Na svých sociálních sítích i na webu bude NKC pravidelně zveřejňovat informace o vědeckých výstupech z různých oblastí, u nichž se projevuje odlišný přínos nejen pro muže a ženy. Součástí kampaně budou také doprovodné přednášky. Kampaň </w:t>
      </w:r>
      <w:r>
        <w:rPr>
          <w:rFonts w:ascii="Arial" w:hAnsi="Arial" w:cs="Arial"/>
        </w:rPr>
        <w:t>„</w:t>
      </w:r>
      <w:r w:rsidRPr="00BA045A">
        <w:rPr>
          <w:rFonts w:ascii="Arial" w:hAnsi="Arial" w:cs="Arial"/>
        </w:rPr>
        <w:t>Jedna velikost nestačí</w:t>
      </w:r>
      <w:r>
        <w:rPr>
          <w:rFonts w:ascii="Arial" w:hAnsi="Arial" w:cs="Arial"/>
        </w:rPr>
        <w:t>“</w:t>
      </w:r>
      <w:r w:rsidRPr="00BA045A">
        <w:rPr>
          <w:rFonts w:ascii="Arial" w:hAnsi="Arial" w:cs="Arial"/>
        </w:rPr>
        <w:t xml:space="preserve"> se zaměří například na témata, jakými jsou dopady pandemie Covid-19, udržitelnost či právo.</w:t>
      </w:r>
    </w:p>
    <w:p w14:paraId="2A89C0FD" w14:textId="77777777" w:rsidR="00BA045A" w:rsidRPr="00BA045A" w:rsidRDefault="00BA045A" w:rsidP="00BA045A">
      <w:pPr>
        <w:spacing w:line="276" w:lineRule="auto"/>
        <w:jc w:val="both"/>
        <w:rPr>
          <w:rFonts w:ascii="Arial" w:hAnsi="Arial" w:cs="Arial"/>
        </w:rPr>
      </w:pPr>
      <w:r w:rsidRPr="00BA045A">
        <w:rPr>
          <w:rFonts w:ascii="Arial" w:hAnsi="Arial" w:cs="Arial"/>
        </w:rPr>
        <w:t>Již nyní jsou na webových stránkách dostupné případové studie, které se týkají řady oblastí. Jednou z nich je například rozdílnost příznaků infarktu u žen a mužů. Ženy čelí o 50 % vyššímu riziku špatně diagnostikované srdeční příhody než muži právě kvůli tomu, že mužské příznaky jsou stále často chápány jako typický obraz infarktu.</w:t>
      </w:r>
    </w:p>
    <w:p w14:paraId="01BD78AA" w14:textId="77777777" w:rsidR="00BA045A" w:rsidRPr="00BA045A" w:rsidRDefault="00BA045A" w:rsidP="00BA045A">
      <w:pPr>
        <w:spacing w:line="276" w:lineRule="auto"/>
        <w:jc w:val="both"/>
        <w:rPr>
          <w:rFonts w:ascii="Arial" w:hAnsi="Arial" w:cs="Arial"/>
        </w:rPr>
      </w:pPr>
      <w:r w:rsidRPr="00BA045A">
        <w:rPr>
          <w:rFonts w:ascii="Arial" w:hAnsi="Arial" w:cs="Arial"/>
        </w:rPr>
        <w:t>Další důležitou oblastí, kde je třeba mít na paměti rozdílnost dopadů vývoje a výzkumu na různé skupiny lidí, jsou technologie. Negativním příkladem výzkumu, kde se počítá jen s “univerzálním” člověkem, jsou nárazové testy automobilů. Figuríny při testech mají totiž zpravidla parametry odpovídající tělu průměrného muže. Riziko vážného zranění při autonehodě je proto u žen o 73 % vyšší než u mužů a riziko úmrtí je pak u žen vyšší o 17 %.</w:t>
      </w:r>
    </w:p>
    <w:p w14:paraId="64A35052" w14:textId="7C9AFCD2" w:rsidR="0062236B" w:rsidRPr="0062236B" w:rsidRDefault="00BA045A" w:rsidP="00BA045A">
      <w:pPr>
        <w:spacing w:line="276" w:lineRule="auto"/>
        <w:rPr>
          <w:rFonts w:ascii="Arial" w:hAnsi="Arial" w:cs="Arial"/>
          <w:b/>
        </w:rPr>
      </w:pPr>
      <w:r w:rsidRPr="00BA045A">
        <w:rPr>
          <w:rFonts w:ascii="Arial" w:hAnsi="Arial" w:cs="Arial"/>
        </w:rPr>
        <w:t xml:space="preserve">Více informací naleznete zde: </w:t>
      </w:r>
      <w:hyperlink r:id="rId7" w:history="1">
        <w:r w:rsidRPr="00BA045A">
          <w:rPr>
            <w:rStyle w:val="Hypertextovodkaz"/>
            <w:rFonts w:ascii="Arial" w:hAnsi="Arial" w:cs="Arial"/>
          </w:rPr>
          <w:t>https://genderaveda.cz/jedna-velikost-nestaci/</w:t>
        </w:r>
      </w:hyperlink>
    </w:p>
    <w:p w14:paraId="684D52DF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  <w:sz w:val="24"/>
        </w:rPr>
      </w:pPr>
      <w:r w:rsidRPr="0062236B">
        <w:rPr>
          <w:rFonts w:ascii="Arial" w:hAnsi="Arial" w:cs="Arial"/>
          <w:b/>
          <w:sz w:val="24"/>
        </w:rPr>
        <w:lastRenderedPageBreak/>
        <w:t>Kontakt</w:t>
      </w:r>
    </w:p>
    <w:p w14:paraId="7971233A" w14:textId="22ED00FD" w:rsidR="00414C15" w:rsidRDefault="00414C15" w:rsidP="0062236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Jana Gabrielová</w:t>
      </w:r>
      <w:r w:rsidR="0062236B" w:rsidRPr="006223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manažerka komunikace NKC</w:t>
      </w:r>
      <w:r w:rsidR="00BA045A" w:rsidRPr="00954FFD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</w:rPr>
        <w:t>gender a věda</w:t>
      </w:r>
      <w:r w:rsidR="0062236B" w:rsidRPr="0062236B">
        <w:rPr>
          <w:rFonts w:ascii="Arial" w:hAnsi="Arial" w:cs="Arial"/>
        </w:rPr>
        <w:t xml:space="preserve">, </w:t>
      </w:r>
    </w:p>
    <w:p w14:paraId="04616FB2" w14:textId="77777777" w:rsidR="0062236B" w:rsidRPr="0062236B" w:rsidRDefault="0062236B" w:rsidP="0062236B">
      <w:pPr>
        <w:spacing w:line="276" w:lineRule="auto"/>
        <w:rPr>
          <w:rFonts w:ascii="Arial" w:hAnsi="Arial" w:cs="Arial"/>
          <w:b/>
        </w:rPr>
      </w:pPr>
      <w:r w:rsidRPr="0062236B">
        <w:rPr>
          <w:rFonts w:ascii="Arial" w:hAnsi="Arial" w:cs="Arial"/>
        </w:rPr>
        <w:t xml:space="preserve">tel.: </w:t>
      </w:r>
      <w:r w:rsidR="00414C15">
        <w:rPr>
          <w:rFonts w:ascii="Arial" w:hAnsi="Arial" w:cs="Arial"/>
        </w:rPr>
        <w:t>775 976 390</w:t>
      </w:r>
      <w:r w:rsidRPr="0062236B">
        <w:rPr>
          <w:rFonts w:ascii="Arial" w:hAnsi="Arial" w:cs="Arial"/>
        </w:rPr>
        <w:t xml:space="preserve">, e-mail: </w:t>
      </w:r>
      <w:r w:rsidR="00414C15">
        <w:rPr>
          <w:rFonts w:ascii="Arial" w:hAnsi="Arial" w:cs="Arial"/>
        </w:rPr>
        <w:t>jana.gabrielova</w:t>
      </w:r>
      <w:r w:rsidRPr="0062236B">
        <w:rPr>
          <w:rFonts w:ascii="Arial" w:hAnsi="Arial" w:cs="Arial"/>
        </w:rPr>
        <w:t>@soc.cas.cz.</w:t>
      </w:r>
    </w:p>
    <w:p w14:paraId="2906AA73" w14:textId="77777777" w:rsidR="001360AD" w:rsidRPr="001360AD" w:rsidRDefault="001360AD" w:rsidP="001360AD">
      <w:pPr>
        <w:rPr>
          <w:rFonts w:ascii="Arial" w:hAnsi="Arial" w:cs="Arial"/>
        </w:rPr>
      </w:pPr>
    </w:p>
    <w:p w14:paraId="7FC5CCC0" w14:textId="77777777" w:rsidR="001360AD" w:rsidRPr="001360AD" w:rsidRDefault="001360AD" w:rsidP="001360AD">
      <w:pPr>
        <w:rPr>
          <w:rFonts w:ascii="Arial" w:hAnsi="Arial" w:cs="Arial"/>
        </w:rPr>
      </w:pPr>
    </w:p>
    <w:p w14:paraId="624CCCD2" w14:textId="77777777" w:rsidR="001360AD" w:rsidRDefault="001360AD" w:rsidP="001360AD">
      <w:pPr>
        <w:rPr>
          <w:rFonts w:ascii="Arial" w:hAnsi="Arial" w:cs="Arial"/>
        </w:rPr>
      </w:pPr>
    </w:p>
    <w:p w14:paraId="375A83DC" w14:textId="77777777" w:rsidR="00A875F3" w:rsidRPr="001360AD" w:rsidRDefault="00A875F3" w:rsidP="001360AD">
      <w:pPr>
        <w:rPr>
          <w:rFonts w:ascii="Arial" w:hAnsi="Arial" w:cs="Arial"/>
        </w:rPr>
      </w:pPr>
    </w:p>
    <w:sectPr w:rsidR="00A875F3" w:rsidRPr="001360AD" w:rsidSect="0062236B">
      <w:headerReference w:type="default" r:id="rId8"/>
      <w:footerReference w:type="default" r:id="rId9"/>
      <w:pgSz w:w="11906" w:h="16838"/>
      <w:pgMar w:top="2268" w:right="1134" w:bottom="1418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0B91" w14:textId="77777777" w:rsidR="00E80E50" w:rsidRDefault="00E80E50" w:rsidP="00B526FA">
      <w:pPr>
        <w:spacing w:after="0" w:line="240" w:lineRule="auto"/>
      </w:pPr>
      <w:r>
        <w:separator/>
      </w:r>
    </w:p>
  </w:endnote>
  <w:endnote w:type="continuationSeparator" w:id="0">
    <w:p w14:paraId="585E1BB1" w14:textId="77777777" w:rsidR="00E80E50" w:rsidRDefault="00E80E50" w:rsidP="00B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F4DCD" w14:textId="77777777" w:rsidR="00414C15" w:rsidRDefault="00414C15"/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2900"/>
      <w:gridCol w:w="2892"/>
    </w:tblGrid>
    <w:tr w:rsidR="00346C0E" w:rsidRPr="0026504F" w14:paraId="1B001791" w14:textId="77777777" w:rsidTr="0026504F">
      <w:trPr>
        <w:trHeight w:val="851"/>
      </w:trPr>
      <w:tc>
        <w:tcPr>
          <w:tcW w:w="3280" w:type="dxa"/>
        </w:tcPr>
        <w:p w14:paraId="2B8880E6" w14:textId="77777777" w:rsidR="00414C15" w:rsidRDefault="00414C15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 xml:space="preserve">NKC </w:t>
          </w:r>
          <w:r w:rsidRPr="00414C15">
            <w:rPr>
              <w:rFonts w:ascii="Arial" w:hAnsi="Arial" w:cs="Arial"/>
              <w:color w:val="0072B6"/>
              <w:sz w:val="20"/>
              <w:szCs w:val="20"/>
            </w:rPr>
            <w:t>-gender a věda</w:t>
          </w:r>
        </w:p>
        <w:p w14:paraId="2EC5BFB6" w14:textId="77777777" w:rsidR="00414C15" w:rsidRPr="0026504F" w:rsidRDefault="001360AD" w:rsidP="001360AD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Sociologický ústav AV ČR, 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v.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 xml:space="preserve"> 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i.</w:t>
          </w:r>
        </w:p>
        <w:p w14:paraId="73587FE2" w14:textId="77777777" w:rsidR="00346C0E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Jil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 xml:space="preserve">ská </w:t>
          </w:r>
          <w:r w:rsidR="008A5034">
            <w:rPr>
              <w:rFonts w:ascii="Arial" w:hAnsi="Arial" w:cs="Arial"/>
              <w:color w:val="0072B6"/>
              <w:sz w:val="20"/>
              <w:szCs w:val="20"/>
            </w:rPr>
            <w:t>361/</w:t>
          </w:r>
          <w:r w:rsidR="00346C0E" w:rsidRPr="0026504F">
            <w:rPr>
              <w:rFonts w:ascii="Arial" w:hAnsi="Arial" w:cs="Arial"/>
              <w:color w:val="0072B6"/>
              <w:sz w:val="20"/>
              <w:szCs w:val="20"/>
            </w:rPr>
            <w:t>1, 110 00 Praha 1</w:t>
          </w:r>
        </w:p>
        <w:p w14:paraId="252EE7FB" w14:textId="77777777" w:rsidR="00414C15" w:rsidRPr="0026504F" w:rsidRDefault="00414C15" w:rsidP="00346C0E">
          <w:pPr>
            <w:rPr>
              <w:rFonts w:ascii="Arial" w:hAnsi="Arial" w:cs="Arial"/>
              <w:color w:val="0072B6"/>
              <w:sz w:val="20"/>
              <w:szCs w:val="20"/>
            </w:rPr>
          </w:pPr>
          <w:r>
            <w:rPr>
              <w:rFonts w:ascii="Arial" w:hAnsi="Arial" w:cs="Arial"/>
              <w:color w:val="0072B6"/>
              <w:sz w:val="20"/>
              <w:szCs w:val="20"/>
            </w:rPr>
            <w:t>www.genderaveda.cz</w:t>
          </w:r>
        </w:p>
        <w:p w14:paraId="13864ACC" w14:textId="77777777" w:rsidR="00346C0E" w:rsidRPr="0026504F" w:rsidRDefault="00346C0E" w:rsidP="0050051C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  <w:tc>
        <w:tcPr>
          <w:tcW w:w="2900" w:type="dxa"/>
        </w:tcPr>
        <w:p w14:paraId="21F039F2" w14:textId="77777777" w:rsidR="00346C0E" w:rsidRPr="0026504F" w:rsidRDefault="00346C0E" w:rsidP="00414C15">
          <w:pPr>
            <w:rPr>
              <w:rFonts w:ascii="Arial" w:hAnsi="Arial" w:cs="Arial"/>
              <w:color w:val="0072B6"/>
              <w:sz w:val="20"/>
              <w:szCs w:val="20"/>
            </w:rPr>
          </w:pPr>
          <w:r w:rsidRPr="0026504F">
            <w:rPr>
              <w:rFonts w:ascii="Arial" w:hAnsi="Arial" w:cs="Arial"/>
              <w:color w:val="0072B6"/>
              <w:sz w:val="20"/>
              <w:szCs w:val="20"/>
            </w:rPr>
            <w:t>T: +420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t> </w:t>
          </w:r>
          <w:r w:rsidR="00F03A96" w:rsidRPr="00F03A96">
            <w:rPr>
              <w:rFonts w:ascii="Arial" w:hAnsi="Arial" w:cs="Arial"/>
              <w:color w:val="0072B6"/>
              <w:sz w:val="20"/>
              <w:szCs w:val="20"/>
            </w:rPr>
            <w:t>210 310 322</w:t>
          </w:r>
          <w:r w:rsidR="00414C15">
            <w:rPr>
              <w:rFonts w:ascii="Arial" w:hAnsi="Arial" w:cs="Arial"/>
              <w:color w:val="0072B6"/>
              <w:sz w:val="20"/>
              <w:szCs w:val="20"/>
            </w:rPr>
            <w:br/>
            <w:t>E: nkc</w:t>
          </w:r>
          <w:r w:rsidRPr="0026504F">
            <w:rPr>
              <w:rFonts w:ascii="Arial" w:hAnsi="Arial" w:cs="Arial"/>
              <w:color w:val="0072B6"/>
              <w:sz w:val="20"/>
              <w:szCs w:val="20"/>
            </w:rPr>
            <w:t>@soc.cas.cz</w:t>
          </w:r>
        </w:p>
      </w:tc>
      <w:tc>
        <w:tcPr>
          <w:tcW w:w="2892" w:type="dxa"/>
        </w:tcPr>
        <w:sdt>
          <w:sdtPr>
            <w:rPr>
              <w:rFonts w:ascii="Arial" w:hAnsi="Arial" w:cs="Arial"/>
              <w:color w:val="0072B6"/>
              <w:sz w:val="20"/>
              <w:szCs w:val="20"/>
            </w:rPr>
            <w:id w:val="-3689473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72B6"/>
                  <w:sz w:val="20"/>
                  <w:szCs w:val="20"/>
                </w:rPr>
                <w:id w:val="-117087125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7EBB77B" w14:textId="77777777" w:rsidR="0026504F" w:rsidRDefault="0026504F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</w:p>
                <w:p w14:paraId="48EAB6DC" w14:textId="5D6588BE" w:rsidR="00346C0E" w:rsidRPr="0026504F" w:rsidRDefault="00346C0E" w:rsidP="00346C0E">
                  <w:pPr>
                    <w:pStyle w:val="Zpat"/>
                    <w:jc w:val="right"/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</w:pPr>
                  <w:r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 xml:space="preserve">Strana 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PAGE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10353B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  <w:r w:rsidR="008147C7" w:rsidRPr="0026504F">
                    <w:rPr>
                      <w:rFonts w:ascii="Arial" w:hAnsi="Arial" w:cs="Arial"/>
                      <w:color w:val="0072B6"/>
                      <w:sz w:val="20"/>
                      <w:szCs w:val="20"/>
                    </w:rPr>
                    <w:t>/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begin"/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instrText>NUMPAGES</w:instrTex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separate"/>
                  </w:r>
                  <w:r w:rsidR="0010353B">
                    <w:rPr>
                      <w:rFonts w:ascii="Arial" w:hAnsi="Arial" w:cs="Arial"/>
                      <w:b/>
                      <w:bCs/>
                      <w:noProof/>
                      <w:color w:val="0072B6"/>
                      <w:sz w:val="20"/>
                      <w:szCs w:val="20"/>
                    </w:rPr>
                    <w:t>2</w:t>
                  </w:r>
                  <w:r w:rsidRPr="0026504F">
                    <w:rPr>
                      <w:rFonts w:ascii="Arial" w:hAnsi="Arial" w:cs="Arial"/>
                      <w:b/>
                      <w:bCs/>
                      <w:color w:val="0072B6"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  <w:p w14:paraId="6F75F334" w14:textId="77777777" w:rsidR="00346C0E" w:rsidRPr="0026504F" w:rsidRDefault="00346C0E" w:rsidP="00B526FA">
          <w:pPr>
            <w:rPr>
              <w:rFonts w:ascii="Arial" w:hAnsi="Arial" w:cs="Arial"/>
              <w:color w:val="0072B6"/>
              <w:sz w:val="20"/>
              <w:szCs w:val="20"/>
            </w:rPr>
          </w:pPr>
        </w:p>
      </w:tc>
    </w:tr>
  </w:tbl>
  <w:p w14:paraId="6D94CAF3" w14:textId="77777777" w:rsidR="00B526FA" w:rsidRPr="0026504F" w:rsidRDefault="0062236B">
    <w:pPr>
      <w:pStyle w:val="Zpat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389981" wp14:editId="4165C041">
          <wp:simplePos x="0" y="0"/>
          <wp:positionH relativeFrom="column">
            <wp:posOffset>1967230</wp:posOffset>
          </wp:positionH>
          <wp:positionV relativeFrom="paragraph">
            <wp:posOffset>-1082675</wp:posOffset>
          </wp:positionV>
          <wp:extent cx="4225925" cy="1054735"/>
          <wp:effectExtent l="0" t="0" r="3175" b="0"/>
          <wp:wrapNone/>
          <wp:docPr id="1" name="Obrázek 1" descr="vek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592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0B59" w14:textId="77777777" w:rsidR="00E80E50" w:rsidRDefault="00E80E50" w:rsidP="00B526FA">
      <w:pPr>
        <w:spacing w:after="0" w:line="240" w:lineRule="auto"/>
      </w:pPr>
      <w:r>
        <w:separator/>
      </w:r>
    </w:p>
  </w:footnote>
  <w:footnote w:type="continuationSeparator" w:id="0">
    <w:p w14:paraId="11D23B6C" w14:textId="77777777" w:rsidR="00E80E50" w:rsidRDefault="00E80E50" w:rsidP="00B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75A46" w14:textId="77777777" w:rsidR="00282864" w:rsidRDefault="00414C15" w:rsidP="00414C15"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58DE5F9" wp14:editId="4FBC4B8F">
          <wp:simplePos x="0" y="0"/>
          <wp:positionH relativeFrom="margin">
            <wp:posOffset>2091690</wp:posOffset>
          </wp:positionH>
          <wp:positionV relativeFrom="paragraph">
            <wp:posOffset>207010</wp:posOffset>
          </wp:positionV>
          <wp:extent cx="2400935" cy="488315"/>
          <wp:effectExtent l="0" t="0" r="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kcgv-horizontal-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935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5AB9F72" wp14:editId="24107A82">
          <wp:simplePos x="0" y="0"/>
          <wp:positionH relativeFrom="column">
            <wp:posOffset>-3810</wp:posOffset>
          </wp:positionH>
          <wp:positionV relativeFrom="paragraph">
            <wp:posOffset>244376</wp:posOffset>
          </wp:positionV>
          <wp:extent cx="1844040" cy="449043"/>
          <wp:effectExtent l="0" t="0" r="3810" b="8255"/>
          <wp:wrapNone/>
          <wp:docPr id="2" name="Obrázek 2" descr="logo_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675" cy="4547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64">
      <w:tab/>
    </w:r>
    <w:r w:rsidR="00282864">
      <w:tab/>
    </w:r>
  </w:p>
  <w:p w14:paraId="54DEEA2C" w14:textId="77777777" w:rsidR="00414C15" w:rsidRDefault="0062236B" w:rsidP="00282864">
    <w:pPr>
      <w:jc w:val="right"/>
      <w:rPr>
        <w:rFonts w:ascii="Arial" w:hAnsi="Arial" w:cs="Arial"/>
        <w:b/>
        <w:color w:val="0072B6"/>
        <w:sz w:val="24"/>
      </w:rPr>
    </w:pPr>
    <w:r>
      <w:rPr>
        <w:rFonts w:ascii="Arial" w:hAnsi="Arial" w:cs="Arial"/>
        <w:b/>
        <w:color w:val="0072B6"/>
        <w:sz w:val="24"/>
      </w:rPr>
      <w:br/>
    </w:r>
  </w:p>
  <w:p w14:paraId="06CA836A" w14:textId="77777777" w:rsidR="00346C0E" w:rsidRDefault="0062236B" w:rsidP="00282864">
    <w:pPr>
      <w:jc w:val="right"/>
    </w:pPr>
    <w:r>
      <w:rPr>
        <w:rFonts w:ascii="Arial" w:hAnsi="Arial" w:cs="Arial"/>
        <w:b/>
        <w:color w:val="0072B6"/>
        <w:sz w:val="24"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F3"/>
    <w:rsid w:val="000D3B8E"/>
    <w:rsid w:val="000E3573"/>
    <w:rsid w:val="000F000E"/>
    <w:rsid w:val="000F15C4"/>
    <w:rsid w:val="0010353B"/>
    <w:rsid w:val="001360AD"/>
    <w:rsid w:val="001D2A42"/>
    <w:rsid w:val="00230D72"/>
    <w:rsid w:val="0026504F"/>
    <w:rsid w:val="00282864"/>
    <w:rsid w:val="002E6885"/>
    <w:rsid w:val="003207B2"/>
    <w:rsid w:val="00346C0E"/>
    <w:rsid w:val="00353A8B"/>
    <w:rsid w:val="00354140"/>
    <w:rsid w:val="003E47BF"/>
    <w:rsid w:val="003F271F"/>
    <w:rsid w:val="004131D1"/>
    <w:rsid w:val="00414B6D"/>
    <w:rsid w:val="00414C15"/>
    <w:rsid w:val="0042176B"/>
    <w:rsid w:val="0047303C"/>
    <w:rsid w:val="0050051C"/>
    <w:rsid w:val="0062236B"/>
    <w:rsid w:val="0063642B"/>
    <w:rsid w:val="00654AA9"/>
    <w:rsid w:val="006A1B34"/>
    <w:rsid w:val="006C1325"/>
    <w:rsid w:val="007B40B0"/>
    <w:rsid w:val="008147C7"/>
    <w:rsid w:val="008A5034"/>
    <w:rsid w:val="00954FFD"/>
    <w:rsid w:val="00A06E76"/>
    <w:rsid w:val="00A1715A"/>
    <w:rsid w:val="00A875F3"/>
    <w:rsid w:val="00AA7C18"/>
    <w:rsid w:val="00AD016F"/>
    <w:rsid w:val="00B416ED"/>
    <w:rsid w:val="00B526FA"/>
    <w:rsid w:val="00B57347"/>
    <w:rsid w:val="00BA045A"/>
    <w:rsid w:val="00BC6B14"/>
    <w:rsid w:val="00C331FB"/>
    <w:rsid w:val="00CA1E70"/>
    <w:rsid w:val="00CF2475"/>
    <w:rsid w:val="00E20775"/>
    <w:rsid w:val="00E37AE6"/>
    <w:rsid w:val="00E55F89"/>
    <w:rsid w:val="00E613A8"/>
    <w:rsid w:val="00E80E50"/>
    <w:rsid w:val="00E967CE"/>
    <w:rsid w:val="00ED6AFE"/>
    <w:rsid w:val="00ED6EC9"/>
    <w:rsid w:val="00F03A96"/>
    <w:rsid w:val="00F70EAD"/>
    <w:rsid w:val="00FA268E"/>
    <w:rsid w:val="00FB2943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C123C"/>
  <w15:docId w15:val="{05F2FF81-73A1-461C-A424-EA17F2D7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7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A875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0"/>
      <w:szCs w:val="10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75F3"/>
    <w:rPr>
      <w:rFonts w:ascii="Arial" w:eastAsia="Arial" w:hAnsi="Arial" w:cs="Arial"/>
      <w:sz w:val="10"/>
      <w:szCs w:val="10"/>
      <w:lang w:val="en-US"/>
    </w:rPr>
  </w:style>
  <w:style w:type="paragraph" w:styleId="Zhlav">
    <w:name w:val="header"/>
    <w:basedOn w:val="Normln"/>
    <w:link w:val="Zhlav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26FA"/>
  </w:style>
  <w:style w:type="paragraph" w:styleId="Zpat">
    <w:name w:val="footer"/>
    <w:basedOn w:val="Normln"/>
    <w:link w:val="ZpatChar"/>
    <w:uiPriority w:val="99"/>
    <w:unhideWhenUsed/>
    <w:rsid w:val="00B5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26FA"/>
  </w:style>
  <w:style w:type="character" w:styleId="Hypertextovodkaz">
    <w:name w:val="Hyperlink"/>
    <w:basedOn w:val="Standardnpsmoodstavce"/>
    <w:uiPriority w:val="99"/>
    <w:unhideWhenUsed/>
    <w:rsid w:val="00B526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7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20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0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0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0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07B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A0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enderaveda.cz/jedna-velikost-nestac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B07B-4523-4E34-AFB5-8E84CDF8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AV CR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filip.lachmann</dc:creator>
  <cp:lastModifiedBy>Zvolánková Eliška</cp:lastModifiedBy>
  <cp:revision>8</cp:revision>
  <cp:lastPrinted>2018-09-24T09:40:00Z</cp:lastPrinted>
  <dcterms:created xsi:type="dcterms:W3CDTF">2021-11-30T17:08:00Z</dcterms:created>
  <dcterms:modified xsi:type="dcterms:W3CDTF">2022-03-08T12:14:00Z</dcterms:modified>
</cp:coreProperties>
</file>