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D1" w:rsidRDefault="002D3972" w:rsidP="00E507D4">
      <w:pPr>
        <w:rPr>
          <w:rFonts w:ascii="Times New Roman" w:hAnsi="Times New Roman" w:cs="Times New Roman"/>
          <w:b/>
          <w:sz w:val="24"/>
          <w:szCs w:val="24"/>
        </w:rPr>
      </w:pPr>
      <w:r>
        <w:rPr>
          <w:rFonts w:ascii="Arial" w:eastAsia="Times New Roman" w:hAnsi="Arial" w:cs="Arial"/>
          <w:noProof/>
          <w:color w:val="244061" w:themeColor="accent1" w:themeShade="80"/>
          <w:sz w:val="20"/>
        </w:rPr>
        <w:drawing>
          <wp:anchor distT="0" distB="0" distL="114300" distR="114300" simplePos="0" relativeHeight="251659264" behindDoc="1" locked="0" layoutInCell="1" allowOverlap="1">
            <wp:simplePos x="0" y="0"/>
            <wp:positionH relativeFrom="column">
              <wp:posOffset>-4445</wp:posOffset>
            </wp:positionH>
            <wp:positionV relativeFrom="paragraph">
              <wp:posOffset>-150495</wp:posOffset>
            </wp:positionV>
            <wp:extent cx="1333500" cy="666750"/>
            <wp:effectExtent l="0" t="0" r="0" b="0"/>
            <wp:wrapTight wrapText="bothSides">
              <wp:wrapPolygon edited="0">
                <wp:start x="4320" y="617"/>
                <wp:lineTo x="2777" y="1234"/>
                <wp:lineTo x="0" y="7406"/>
                <wp:lineTo x="0" y="12960"/>
                <wp:lineTo x="2777" y="19749"/>
                <wp:lineTo x="3703" y="19749"/>
                <wp:lineTo x="7097" y="19749"/>
                <wp:lineTo x="8640" y="19749"/>
                <wp:lineTo x="21600" y="11726"/>
                <wp:lineTo x="21600" y="9257"/>
                <wp:lineTo x="13886" y="4320"/>
                <wp:lineTo x="6480" y="617"/>
                <wp:lineTo x="4320" y="617"/>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33500" cy="666750"/>
                    </a:xfrm>
                    <a:prstGeom prst="rect">
                      <a:avLst/>
                    </a:prstGeom>
                  </pic:spPr>
                </pic:pic>
              </a:graphicData>
            </a:graphic>
          </wp:anchor>
        </w:drawing>
      </w:r>
    </w:p>
    <w:p w:rsidR="00D20447" w:rsidRDefault="00D20447" w:rsidP="00AF1320">
      <w:pPr>
        <w:jc w:val="center"/>
        <w:rPr>
          <w:rFonts w:ascii="Times New Roman" w:hAnsi="Times New Roman" w:cs="Times New Roman"/>
          <w:b/>
          <w:sz w:val="24"/>
          <w:szCs w:val="24"/>
        </w:rPr>
      </w:pPr>
    </w:p>
    <w:p w:rsidR="001028B6" w:rsidRPr="003F5AEE" w:rsidRDefault="001028B6" w:rsidP="001028B6">
      <w:pPr>
        <w:jc w:val="center"/>
        <w:rPr>
          <w:rFonts w:ascii="Times New Roman" w:hAnsi="Times New Roman" w:cs="Times New Roman"/>
          <w:b/>
          <w:sz w:val="28"/>
          <w:szCs w:val="28"/>
        </w:rPr>
      </w:pPr>
      <w:r w:rsidRPr="003F5AEE">
        <w:rPr>
          <w:rFonts w:ascii="Times New Roman" w:hAnsi="Times New Roman" w:cs="Times New Roman"/>
          <w:b/>
          <w:sz w:val="28"/>
          <w:szCs w:val="28"/>
        </w:rPr>
        <w:t>Tisková zpráva</w:t>
      </w:r>
    </w:p>
    <w:p w:rsidR="001028B6" w:rsidRDefault="001028B6" w:rsidP="001028B6">
      <w:pPr>
        <w:jc w:val="center"/>
        <w:rPr>
          <w:rFonts w:ascii="Times New Roman" w:hAnsi="Times New Roman" w:cs="Times New Roman"/>
          <w:sz w:val="28"/>
          <w:szCs w:val="28"/>
        </w:rPr>
      </w:pPr>
      <w:r>
        <w:rPr>
          <w:rFonts w:ascii="Times New Roman" w:hAnsi="Times New Roman" w:cs="Times New Roman"/>
          <w:sz w:val="28"/>
          <w:szCs w:val="28"/>
        </w:rPr>
        <w:t>3. prosince 2021</w:t>
      </w:r>
    </w:p>
    <w:p w:rsidR="001028B6" w:rsidRPr="001028B6" w:rsidRDefault="001028B6" w:rsidP="001028B6">
      <w:pPr>
        <w:jc w:val="both"/>
        <w:rPr>
          <w:rFonts w:ascii="Times New Roman" w:hAnsi="Times New Roman" w:cs="Times New Roman"/>
          <w:b/>
          <w:sz w:val="28"/>
          <w:szCs w:val="28"/>
        </w:rPr>
      </w:pPr>
      <w:r w:rsidRPr="001028B6">
        <w:rPr>
          <w:rFonts w:ascii="Times New Roman" w:hAnsi="Times New Roman" w:cs="Times New Roman"/>
          <w:b/>
          <w:sz w:val="28"/>
          <w:szCs w:val="28"/>
        </w:rPr>
        <w:t xml:space="preserve">Výstava v muzeu přibližuje sesuvy zemin jako společenský fenomén </w:t>
      </w:r>
    </w:p>
    <w:p w:rsidR="001028B6" w:rsidRPr="001028B6" w:rsidRDefault="001028B6" w:rsidP="001028B6">
      <w:pPr>
        <w:jc w:val="both"/>
        <w:rPr>
          <w:rFonts w:ascii="Times New Roman" w:hAnsi="Times New Roman" w:cs="Times New Roman"/>
          <w:color w:val="FF0000"/>
          <w:sz w:val="24"/>
          <w:szCs w:val="24"/>
        </w:rPr>
      </w:pPr>
      <w:r w:rsidRPr="001028B6">
        <w:rPr>
          <w:rFonts w:ascii="Times New Roman" w:hAnsi="Times New Roman" w:cs="Times New Roman"/>
          <w:sz w:val="24"/>
          <w:szCs w:val="24"/>
        </w:rPr>
        <w:t xml:space="preserve">Nově otevřená výstava </w:t>
      </w:r>
      <w:r w:rsidRPr="001028B6">
        <w:rPr>
          <w:rFonts w:ascii="Times New Roman" w:hAnsi="Times New Roman" w:cs="Times New Roman"/>
          <w:b/>
          <w:sz w:val="24"/>
          <w:szCs w:val="24"/>
        </w:rPr>
        <w:t>Nestabilní podloží: sesuvy, životy &amp; perspektivy</w:t>
      </w:r>
      <w:r w:rsidRPr="001028B6">
        <w:rPr>
          <w:rFonts w:ascii="Times New Roman" w:hAnsi="Times New Roman" w:cs="Times New Roman"/>
          <w:sz w:val="24"/>
          <w:szCs w:val="24"/>
        </w:rPr>
        <w:t xml:space="preserve"> v Muzeu města Ústí nad Labem </w:t>
      </w:r>
      <w:r w:rsidRPr="001028B6">
        <w:rPr>
          <w:rFonts w:ascii="Times New Roman" w:hAnsi="Times New Roman" w:cs="Times New Roman"/>
          <w:color w:val="000000"/>
          <w:sz w:val="24"/>
          <w:szCs w:val="24"/>
        </w:rPr>
        <w:t>přibližuje sesuvy zemin a hornin jako společenský fenomén, který po generace ovlivňuje životy lidí ve své blízkosti. Nabízí tak poněkud odlišný úhel pohledu, než je běžné vnímání sesuvů jako ryze geologického procesu, který vždy patřil k vývoji krajiny Českého středohoří, stejně jako dalších oblastí České republiky. Výstavu je možné v muzeu zhlédnout až do 3. dubna 2022.</w:t>
      </w:r>
    </w:p>
    <w:p w:rsidR="001028B6" w:rsidRPr="001028B6" w:rsidRDefault="001028B6" w:rsidP="001028B6">
      <w:pPr>
        <w:pStyle w:val="Normlnweb"/>
        <w:spacing w:line="276" w:lineRule="auto"/>
        <w:jc w:val="both"/>
        <w:rPr>
          <w:color w:val="000000"/>
        </w:rPr>
      </w:pPr>
      <w:r w:rsidRPr="001028B6">
        <w:rPr>
          <w:color w:val="000000"/>
        </w:rPr>
        <w:t>„Výstava využívá moderních audiovizuálních prostředků ke zprostředkování nejen zajímavých informací, ale také prožitků lidí, do jejichž životů sesuvy výrazně zasáhly.</w:t>
      </w:r>
      <w:r w:rsidRPr="001028B6">
        <w:t xml:space="preserve"> A protože sesuvy ke zdejší sopečné krajině neodmyslitelně patří, nechybí na výstavě regionální nadstavba. Část, nazvaná Sopečná krajina v pohybu, prezentuje nejznámější sesuvy z oblasti Českého středohoří. Jde například o Kozí vrch, Klapý, Čeřeniště, Vaňov či sesuv na dálnici D8 včetně pohledu na jejich vznik a následky</w:t>
      </w:r>
      <w:r w:rsidRPr="001028B6">
        <w:rPr>
          <w:color w:val="000000"/>
        </w:rPr>
        <w:t xml:space="preserve"> a způsoby jejich současného výzkumu,“ uvedl </w:t>
      </w:r>
      <w:r w:rsidRPr="001028B6">
        <w:rPr>
          <w:color w:val="000000" w:themeColor="text1"/>
        </w:rPr>
        <w:t>jeden ze spoluautorů</w:t>
      </w:r>
      <w:r w:rsidRPr="001028B6">
        <w:rPr>
          <w:color w:val="000000"/>
        </w:rPr>
        <w:t xml:space="preserve"> výstavy Jan Klimeš z Ústavu struktury a mechaniky hornin Akademie věd ČR. </w:t>
      </w:r>
    </w:p>
    <w:p w:rsidR="001028B6" w:rsidRPr="001028B6" w:rsidRDefault="001028B6" w:rsidP="001028B6">
      <w:pPr>
        <w:jc w:val="both"/>
        <w:rPr>
          <w:rFonts w:ascii="Times New Roman" w:hAnsi="Times New Roman" w:cs="Times New Roman"/>
          <w:sz w:val="24"/>
          <w:szCs w:val="24"/>
        </w:rPr>
      </w:pPr>
      <w:r w:rsidRPr="001028B6">
        <w:rPr>
          <w:rFonts w:ascii="Times New Roman" w:hAnsi="Times New Roman" w:cs="Times New Roman"/>
          <w:color w:val="000000"/>
          <w:sz w:val="24"/>
          <w:szCs w:val="24"/>
        </w:rPr>
        <w:t>Doplnil, že v roce 2022 bude výstava doplněna popularizačními přednáškami a komentovanými prohlídkami, které povedou její autoři.</w:t>
      </w:r>
    </w:p>
    <w:p w:rsidR="001028B6" w:rsidRPr="001028B6" w:rsidRDefault="001028B6" w:rsidP="001028B6">
      <w:pPr>
        <w:jc w:val="both"/>
        <w:rPr>
          <w:rFonts w:ascii="Times New Roman" w:hAnsi="Times New Roman" w:cs="Times New Roman"/>
          <w:sz w:val="24"/>
          <w:szCs w:val="24"/>
        </w:rPr>
      </w:pPr>
      <w:r w:rsidRPr="001028B6">
        <w:rPr>
          <w:rFonts w:ascii="Times New Roman" w:hAnsi="Times New Roman" w:cs="Times New Roman"/>
          <w:sz w:val="24"/>
          <w:szCs w:val="24"/>
        </w:rPr>
        <w:t>Výstavu připravil tým ve složení Bob Kuřík, Vojtěch Pecka, Pavel Sterec, Jan Klimeš a Jiří Suchánek. Je výstupem výzkumného programu Přírodní hrozby Strategie AV21 a jeho tématu Péče o krajinu v prevenci nebezpečných přírodních jevů. Regionální část zpracovali Jan Klimeš, Pavel Raška a Zuzana Vařilová. Výstavu prezentuje Muzeum města Ústí nad Labem ve spolupráci s Akademií věd ČR a Univerzitou J. E. Purkyně v Ústí nad Labem. </w:t>
      </w:r>
    </w:p>
    <w:p w:rsidR="001028B6" w:rsidRPr="001028B6" w:rsidRDefault="001028B6" w:rsidP="001028B6">
      <w:pPr>
        <w:jc w:val="both"/>
        <w:rPr>
          <w:rFonts w:ascii="Times New Roman" w:hAnsi="Times New Roman" w:cs="Times New Roman"/>
          <w:sz w:val="24"/>
          <w:szCs w:val="24"/>
        </w:rPr>
      </w:pPr>
      <w:r w:rsidRPr="001028B6">
        <w:rPr>
          <w:rFonts w:ascii="Times New Roman" w:hAnsi="Times New Roman" w:cs="Times New Roman"/>
          <w:sz w:val="24"/>
          <w:szCs w:val="24"/>
        </w:rPr>
        <w:t>K výstavě vyšla stejnojmenná doprovodná publikace v rámci edice Ústecké muzejní sešity, k zakoupení je v pokladně muzea a </w:t>
      </w:r>
      <w:hyperlink r:id="rId8" w:tgtFrame="_blank" w:history="1">
        <w:r w:rsidRPr="001028B6">
          <w:rPr>
            <w:rStyle w:val="Hypertextovodkaz"/>
            <w:rFonts w:ascii="Times New Roman" w:hAnsi="Times New Roman" w:cs="Times New Roman"/>
            <w:sz w:val="24"/>
            <w:szCs w:val="24"/>
          </w:rPr>
          <w:t>na muzejním eshopu</w:t>
        </w:r>
      </w:hyperlink>
      <w:r w:rsidRPr="001028B6">
        <w:rPr>
          <w:rFonts w:ascii="Times New Roman" w:hAnsi="Times New Roman" w:cs="Times New Roman"/>
          <w:sz w:val="24"/>
          <w:szCs w:val="24"/>
        </w:rPr>
        <w:t>.</w:t>
      </w:r>
    </w:p>
    <w:p w:rsidR="001028B6" w:rsidRPr="001028B6" w:rsidRDefault="001028B6" w:rsidP="001028B6">
      <w:pPr>
        <w:jc w:val="both"/>
        <w:rPr>
          <w:rFonts w:ascii="Times New Roman" w:hAnsi="Times New Roman" w:cs="Times New Roman"/>
          <w:sz w:val="24"/>
          <w:szCs w:val="24"/>
        </w:rPr>
      </w:pPr>
      <w:r w:rsidRPr="001028B6">
        <w:rPr>
          <w:rFonts w:ascii="Times New Roman" w:hAnsi="Times New Roman" w:cs="Times New Roman"/>
          <w:sz w:val="24"/>
          <w:szCs w:val="24"/>
        </w:rPr>
        <w:t xml:space="preserve">Velká většina sesuvů v České republice vzniká v důsledku extrémních srážek nebo v kombinaci deště a tání sněhu. Mohou poškodit například domy, rekreační objekty, jsou zodpovědné za přerušení provozu na silnicích a železnicích. Předcházení škodám, které mohou sesuvy způsobit, je hlavní důvod jejich vědeckého studia. Řada vědeckých prací a desetiletí zkušeností s výzkumem sesuvů v ČR ukazují, že velká část nových sesuvů vznikla v místech, kde byl tento jev již v minulosti. Znalost současného rozšíření sesuvů </w:t>
      </w:r>
      <w:bookmarkStart w:id="0" w:name="_GoBack"/>
      <w:bookmarkEnd w:id="0"/>
      <w:r w:rsidRPr="001028B6">
        <w:rPr>
          <w:rFonts w:ascii="Times New Roman" w:hAnsi="Times New Roman" w:cs="Times New Roman"/>
          <w:sz w:val="24"/>
          <w:szCs w:val="24"/>
        </w:rPr>
        <w:t>tak poskytuje základní informaci pro prevenci škod v budoucnosti.</w:t>
      </w:r>
    </w:p>
    <w:p w:rsidR="001028B6" w:rsidRPr="001028B6" w:rsidRDefault="001028B6" w:rsidP="001028B6">
      <w:pPr>
        <w:jc w:val="both"/>
        <w:rPr>
          <w:rFonts w:ascii="Times New Roman" w:hAnsi="Times New Roman" w:cs="Times New Roman"/>
          <w:sz w:val="24"/>
          <w:szCs w:val="24"/>
        </w:rPr>
      </w:pPr>
      <w:r w:rsidRPr="001028B6">
        <w:rPr>
          <w:rFonts w:ascii="Times New Roman" w:hAnsi="Times New Roman" w:cs="Times New Roman"/>
          <w:sz w:val="24"/>
          <w:szCs w:val="24"/>
        </w:rPr>
        <w:lastRenderedPageBreak/>
        <w:t xml:space="preserve">Informace také na: </w:t>
      </w:r>
      <w:hyperlink r:id="rId9" w:history="1">
        <w:r w:rsidRPr="001028B6">
          <w:rPr>
            <w:rStyle w:val="Hypertextovodkaz"/>
            <w:rFonts w:ascii="Times New Roman" w:hAnsi="Times New Roman" w:cs="Times New Roman"/>
            <w:sz w:val="24"/>
            <w:szCs w:val="24"/>
          </w:rPr>
          <w:t>Muzeum města Ústí nad Labem | Přehled expozic a výstav (muzeumusti.cz)</w:t>
        </w:r>
      </w:hyperlink>
    </w:p>
    <w:p w:rsidR="001028B6" w:rsidRPr="001028B6" w:rsidRDefault="001028B6" w:rsidP="001028B6">
      <w:pPr>
        <w:shd w:val="clear" w:color="auto" w:fill="FFFFFF"/>
        <w:jc w:val="both"/>
        <w:rPr>
          <w:rFonts w:ascii="Times New Roman" w:eastAsia="Times New Roman" w:hAnsi="Times New Roman" w:cs="Times New Roman"/>
          <w:b/>
          <w:color w:val="000000"/>
          <w:sz w:val="24"/>
          <w:szCs w:val="24"/>
        </w:rPr>
      </w:pPr>
    </w:p>
    <w:p w:rsidR="001028B6" w:rsidRPr="001028B6" w:rsidRDefault="001028B6" w:rsidP="001028B6">
      <w:pPr>
        <w:pStyle w:val="Odstavecseseznamem"/>
        <w:numPr>
          <w:ilvl w:val="0"/>
          <w:numId w:val="10"/>
        </w:numPr>
        <w:spacing w:after="0"/>
        <w:jc w:val="both"/>
        <w:rPr>
          <w:rFonts w:ascii="Times New Roman" w:hAnsi="Times New Roman" w:cs="Times New Roman"/>
          <w:i/>
          <w:sz w:val="24"/>
          <w:szCs w:val="24"/>
        </w:rPr>
      </w:pPr>
      <w:r w:rsidRPr="001028B6">
        <w:rPr>
          <w:rFonts w:ascii="Times New Roman" w:hAnsi="Times New Roman" w:cs="Times New Roman"/>
          <w:b/>
          <w:i/>
          <w:sz w:val="24"/>
          <w:szCs w:val="24"/>
        </w:rPr>
        <w:t>Ústav struktury a mechaniky hornin AV ČR, v.v.i.</w:t>
      </w:r>
      <w:r w:rsidRPr="001028B6">
        <w:rPr>
          <w:rFonts w:ascii="Times New Roman" w:hAnsi="Times New Roman" w:cs="Times New Roman"/>
          <w:i/>
          <w:sz w:val="24"/>
          <w:szCs w:val="24"/>
        </w:rPr>
        <w:t xml:space="preserve"> je pracoviště zaměřené na studium struktury a vlastností horninového prostředí, hornin, odvozených materiálů a speciálních kompozitních materiálů. Zkoumá přírodní i indukované jevy a procesy působící na chování, vývoj a stabilitu hornin v jejich přirozeném uložení v zemské kůře a širokou škálu anorganických a organických materiálů jak na místě, tak vytvořených v laboratorních podmínkách. Uplatňuje pokročilé monitorovací i laboratorní metody výzkumu s cílem formulovat vědecké poznatky a stanovit podmínky jejich využití v praxi. </w:t>
      </w:r>
      <w:r w:rsidRPr="001028B6">
        <w:rPr>
          <w:rFonts w:ascii="Times New Roman" w:hAnsi="Times New Roman" w:cs="Times New Roman"/>
          <w:i/>
          <w:sz w:val="24"/>
          <w:szCs w:val="24"/>
        </w:rPr>
        <w:br/>
      </w:r>
      <w:r w:rsidRPr="001028B6">
        <w:rPr>
          <w:rFonts w:ascii="Times New Roman" w:hAnsi="Times New Roman" w:cs="Times New Roman"/>
          <w:b/>
          <w:color w:val="1F497D" w:themeColor="text2"/>
          <w:sz w:val="24"/>
          <w:szCs w:val="24"/>
        </w:rPr>
        <w:t>www.irsm.cas.cz</w:t>
      </w:r>
    </w:p>
    <w:p w:rsidR="001028B6" w:rsidRPr="001028B6" w:rsidRDefault="001028B6" w:rsidP="001028B6">
      <w:pPr>
        <w:jc w:val="both"/>
        <w:rPr>
          <w:rFonts w:ascii="Times New Roman" w:hAnsi="Times New Roman" w:cs="Times New Roman"/>
          <w:sz w:val="24"/>
          <w:szCs w:val="24"/>
        </w:rPr>
      </w:pPr>
    </w:p>
    <w:p w:rsidR="001028B6" w:rsidRPr="001028B6" w:rsidRDefault="001028B6" w:rsidP="00AF1320">
      <w:pPr>
        <w:jc w:val="center"/>
        <w:rPr>
          <w:rFonts w:ascii="Times New Roman" w:hAnsi="Times New Roman" w:cs="Times New Roman"/>
          <w:b/>
          <w:sz w:val="24"/>
          <w:szCs w:val="24"/>
        </w:rPr>
      </w:pPr>
    </w:p>
    <w:p w:rsidR="001028B6" w:rsidRDefault="001028B6" w:rsidP="00AF1320">
      <w:pPr>
        <w:jc w:val="center"/>
        <w:rPr>
          <w:rFonts w:ascii="Times New Roman" w:hAnsi="Times New Roman" w:cs="Times New Roman"/>
          <w:b/>
          <w:sz w:val="28"/>
          <w:szCs w:val="28"/>
        </w:rPr>
      </w:pPr>
    </w:p>
    <w:sectPr w:rsidR="001028B6" w:rsidSect="001038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696" w:rsidRDefault="00006696" w:rsidP="00E507D4">
      <w:pPr>
        <w:spacing w:after="0" w:line="240" w:lineRule="auto"/>
      </w:pPr>
      <w:r>
        <w:separator/>
      </w:r>
    </w:p>
  </w:endnote>
  <w:endnote w:type="continuationSeparator" w:id="1">
    <w:p w:rsidR="00006696" w:rsidRDefault="00006696" w:rsidP="00E50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696" w:rsidRDefault="00006696" w:rsidP="00E507D4">
      <w:pPr>
        <w:spacing w:after="0" w:line="240" w:lineRule="auto"/>
      </w:pPr>
      <w:r>
        <w:separator/>
      </w:r>
    </w:p>
  </w:footnote>
  <w:footnote w:type="continuationSeparator" w:id="1">
    <w:p w:rsidR="00006696" w:rsidRDefault="00006696" w:rsidP="00E50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1B9"/>
    <w:multiLevelType w:val="hybridMultilevel"/>
    <w:tmpl w:val="1A14EB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A023E2"/>
    <w:multiLevelType w:val="hybridMultilevel"/>
    <w:tmpl w:val="AF889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4A26FA"/>
    <w:multiLevelType w:val="hybridMultilevel"/>
    <w:tmpl w:val="DD30F5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4765096"/>
    <w:multiLevelType w:val="hybridMultilevel"/>
    <w:tmpl w:val="70420F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871EE8"/>
    <w:multiLevelType w:val="hybridMultilevel"/>
    <w:tmpl w:val="A81E24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0F1850"/>
    <w:multiLevelType w:val="hybridMultilevel"/>
    <w:tmpl w:val="F99EC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80178A3"/>
    <w:multiLevelType w:val="hybridMultilevel"/>
    <w:tmpl w:val="A0263F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AB5052"/>
    <w:multiLevelType w:val="hybridMultilevel"/>
    <w:tmpl w:val="4742370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9F11B01"/>
    <w:multiLevelType w:val="hybridMultilevel"/>
    <w:tmpl w:val="3D5C6F8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7AE85944"/>
    <w:multiLevelType w:val="hybridMultilevel"/>
    <w:tmpl w:val="7F2674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E4E582E"/>
    <w:multiLevelType w:val="hybridMultilevel"/>
    <w:tmpl w:val="33CCA4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2"/>
  </w:num>
  <w:num w:numId="6">
    <w:abstractNumId w:val="7"/>
  </w:num>
  <w:num w:numId="7">
    <w:abstractNumId w:val="5"/>
  </w:num>
  <w:num w:numId="8">
    <w:abstractNumId w:val="9"/>
  </w:num>
  <w:num w:numId="9">
    <w:abstractNumId w:val="1"/>
  </w:num>
  <w:num w:numId="10">
    <w:abstractNumId w:val="1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l Tesař">
    <w15:presenceInfo w15:providerId="Windows Live" w15:userId="02deac3a449b79d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FD0DF0"/>
    <w:rsid w:val="00000059"/>
    <w:rsid w:val="00006696"/>
    <w:rsid w:val="00006A64"/>
    <w:rsid w:val="000159AE"/>
    <w:rsid w:val="000460A5"/>
    <w:rsid w:val="000541DF"/>
    <w:rsid w:val="000664A0"/>
    <w:rsid w:val="00084B6C"/>
    <w:rsid w:val="00087CC6"/>
    <w:rsid w:val="000E28C2"/>
    <w:rsid w:val="001024E7"/>
    <w:rsid w:val="001028B6"/>
    <w:rsid w:val="00103840"/>
    <w:rsid w:val="001171E8"/>
    <w:rsid w:val="00164415"/>
    <w:rsid w:val="00164D20"/>
    <w:rsid w:val="001674F0"/>
    <w:rsid w:val="00193EB3"/>
    <w:rsid w:val="001C5900"/>
    <w:rsid w:val="001C77C6"/>
    <w:rsid w:val="001E608F"/>
    <w:rsid w:val="001F03C6"/>
    <w:rsid w:val="001F53B7"/>
    <w:rsid w:val="00213B4D"/>
    <w:rsid w:val="00217057"/>
    <w:rsid w:val="00217290"/>
    <w:rsid w:val="00221C53"/>
    <w:rsid w:val="00244189"/>
    <w:rsid w:val="00246527"/>
    <w:rsid w:val="00270B39"/>
    <w:rsid w:val="00275FC9"/>
    <w:rsid w:val="00286341"/>
    <w:rsid w:val="00294880"/>
    <w:rsid w:val="002A1AB1"/>
    <w:rsid w:val="002B78BC"/>
    <w:rsid w:val="002D3972"/>
    <w:rsid w:val="0033216C"/>
    <w:rsid w:val="00335F57"/>
    <w:rsid w:val="0033753A"/>
    <w:rsid w:val="00345053"/>
    <w:rsid w:val="00356C78"/>
    <w:rsid w:val="00383954"/>
    <w:rsid w:val="003865A1"/>
    <w:rsid w:val="003D0E57"/>
    <w:rsid w:val="003D6D1F"/>
    <w:rsid w:val="003E2CC1"/>
    <w:rsid w:val="003E5437"/>
    <w:rsid w:val="003F1D58"/>
    <w:rsid w:val="003F4390"/>
    <w:rsid w:val="003F5AEE"/>
    <w:rsid w:val="00401888"/>
    <w:rsid w:val="00423C3C"/>
    <w:rsid w:val="00425F20"/>
    <w:rsid w:val="0043574A"/>
    <w:rsid w:val="00443835"/>
    <w:rsid w:val="004505EB"/>
    <w:rsid w:val="00463780"/>
    <w:rsid w:val="004751DB"/>
    <w:rsid w:val="0048140E"/>
    <w:rsid w:val="004C2FA5"/>
    <w:rsid w:val="004D3357"/>
    <w:rsid w:val="00526C06"/>
    <w:rsid w:val="0056647B"/>
    <w:rsid w:val="005674ED"/>
    <w:rsid w:val="00593971"/>
    <w:rsid w:val="00593CF7"/>
    <w:rsid w:val="00596DB3"/>
    <w:rsid w:val="00597D30"/>
    <w:rsid w:val="005A729C"/>
    <w:rsid w:val="005B0149"/>
    <w:rsid w:val="005B76CA"/>
    <w:rsid w:val="005D6AA2"/>
    <w:rsid w:val="005F314D"/>
    <w:rsid w:val="00621792"/>
    <w:rsid w:val="00667D46"/>
    <w:rsid w:val="00674829"/>
    <w:rsid w:val="00675095"/>
    <w:rsid w:val="00683A64"/>
    <w:rsid w:val="006932F4"/>
    <w:rsid w:val="006C7BB6"/>
    <w:rsid w:val="006F0714"/>
    <w:rsid w:val="006F2B4D"/>
    <w:rsid w:val="007005F9"/>
    <w:rsid w:val="00704C0F"/>
    <w:rsid w:val="00705641"/>
    <w:rsid w:val="00712005"/>
    <w:rsid w:val="00721DA7"/>
    <w:rsid w:val="00732C4C"/>
    <w:rsid w:val="00733135"/>
    <w:rsid w:val="00755741"/>
    <w:rsid w:val="00765563"/>
    <w:rsid w:val="007F39CE"/>
    <w:rsid w:val="00814060"/>
    <w:rsid w:val="00815F7E"/>
    <w:rsid w:val="00832AEC"/>
    <w:rsid w:val="00846296"/>
    <w:rsid w:val="00857016"/>
    <w:rsid w:val="00870688"/>
    <w:rsid w:val="00875E39"/>
    <w:rsid w:val="00876653"/>
    <w:rsid w:val="00876D9E"/>
    <w:rsid w:val="008772A1"/>
    <w:rsid w:val="008A23E2"/>
    <w:rsid w:val="008C5055"/>
    <w:rsid w:val="00925A76"/>
    <w:rsid w:val="00934B13"/>
    <w:rsid w:val="009606EA"/>
    <w:rsid w:val="00961CAB"/>
    <w:rsid w:val="00965F34"/>
    <w:rsid w:val="00971098"/>
    <w:rsid w:val="00973AD7"/>
    <w:rsid w:val="009814FE"/>
    <w:rsid w:val="009B5EA8"/>
    <w:rsid w:val="009C0D3A"/>
    <w:rsid w:val="009E25E2"/>
    <w:rsid w:val="00A3430B"/>
    <w:rsid w:val="00A531AB"/>
    <w:rsid w:val="00A563D1"/>
    <w:rsid w:val="00A6236E"/>
    <w:rsid w:val="00A6642D"/>
    <w:rsid w:val="00A864E2"/>
    <w:rsid w:val="00AA3EF0"/>
    <w:rsid w:val="00AA5838"/>
    <w:rsid w:val="00AC0601"/>
    <w:rsid w:val="00AC2C43"/>
    <w:rsid w:val="00AD7A38"/>
    <w:rsid w:val="00AF1320"/>
    <w:rsid w:val="00B22C47"/>
    <w:rsid w:val="00B41D43"/>
    <w:rsid w:val="00B529A4"/>
    <w:rsid w:val="00B63511"/>
    <w:rsid w:val="00BA4592"/>
    <w:rsid w:val="00BA76C8"/>
    <w:rsid w:val="00BB12BA"/>
    <w:rsid w:val="00BC723C"/>
    <w:rsid w:val="00BE4094"/>
    <w:rsid w:val="00C17DD8"/>
    <w:rsid w:val="00C263D5"/>
    <w:rsid w:val="00C3747C"/>
    <w:rsid w:val="00C429BB"/>
    <w:rsid w:val="00C434DE"/>
    <w:rsid w:val="00C50C82"/>
    <w:rsid w:val="00C86A2D"/>
    <w:rsid w:val="00C97B26"/>
    <w:rsid w:val="00CA1D30"/>
    <w:rsid w:val="00CA495C"/>
    <w:rsid w:val="00CB4767"/>
    <w:rsid w:val="00CB5FCA"/>
    <w:rsid w:val="00CD717F"/>
    <w:rsid w:val="00CF4FD5"/>
    <w:rsid w:val="00CF7E48"/>
    <w:rsid w:val="00D20447"/>
    <w:rsid w:val="00D218FE"/>
    <w:rsid w:val="00D2537E"/>
    <w:rsid w:val="00D3599C"/>
    <w:rsid w:val="00D578EE"/>
    <w:rsid w:val="00D96DBD"/>
    <w:rsid w:val="00DA4129"/>
    <w:rsid w:val="00DC13B9"/>
    <w:rsid w:val="00DD1F57"/>
    <w:rsid w:val="00DE141C"/>
    <w:rsid w:val="00DE2FE2"/>
    <w:rsid w:val="00E03D6F"/>
    <w:rsid w:val="00E42540"/>
    <w:rsid w:val="00E43A53"/>
    <w:rsid w:val="00E507D4"/>
    <w:rsid w:val="00E515EA"/>
    <w:rsid w:val="00E53DF5"/>
    <w:rsid w:val="00E73261"/>
    <w:rsid w:val="00EC139F"/>
    <w:rsid w:val="00EE0872"/>
    <w:rsid w:val="00F15030"/>
    <w:rsid w:val="00F2318F"/>
    <w:rsid w:val="00F57DCD"/>
    <w:rsid w:val="00F63459"/>
    <w:rsid w:val="00F83319"/>
    <w:rsid w:val="00F837CE"/>
    <w:rsid w:val="00FA1215"/>
    <w:rsid w:val="00FC10E9"/>
    <w:rsid w:val="00FD0DF0"/>
    <w:rsid w:val="00FD1DEE"/>
    <w:rsid w:val="00FE32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6D1F"/>
  </w:style>
  <w:style w:type="paragraph" w:styleId="Nadpis1">
    <w:name w:val="heading 1"/>
    <w:basedOn w:val="Normln"/>
    <w:link w:val="Nadpis1Char"/>
    <w:uiPriority w:val="9"/>
    <w:qFormat/>
    <w:rsid w:val="008766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7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7D4"/>
  </w:style>
  <w:style w:type="paragraph" w:styleId="Zpat">
    <w:name w:val="footer"/>
    <w:basedOn w:val="Normln"/>
    <w:link w:val="ZpatChar"/>
    <w:uiPriority w:val="99"/>
    <w:unhideWhenUsed/>
    <w:rsid w:val="00E507D4"/>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7D4"/>
  </w:style>
  <w:style w:type="character" w:customStyle="1" w:styleId="apple-converted-space">
    <w:name w:val="apple-converted-space"/>
    <w:basedOn w:val="Standardnpsmoodstavce"/>
    <w:rsid w:val="00C50C82"/>
  </w:style>
  <w:style w:type="character" w:styleId="Hypertextovodkaz">
    <w:name w:val="Hyperlink"/>
    <w:basedOn w:val="Standardnpsmoodstavce"/>
    <w:uiPriority w:val="99"/>
    <w:unhideWhenUsed/>
    <w:rsid w:val="00E73261"/>
    <w:rPr>
      <w:color w:val="0000FF" w:themeColor="hyperlink"/>
      <w:u w:val="single"/>
    </w:rPr>
  </w:style>
  <w:style w:type="paragraph" w:styleId="Odstavecseseznamem">
    <w:name w:val="List Paragraph"/>
    <w:basedOn w:val="Normln"/>
    <w:uiPriority w:val="34"/>
    <w:qFormat/>
    <w:rsid w:val="00E73261"/>
    <w:pPr>
      <w:ind w:left="720"/>
      <w:contextualSpacing/>
    </w:pPr>
  </w:style>
  <w:style w:type="paragraph" w:styleId="Textbubliny">
    <w:name w:val="Balloon Text"/>
    <w:basedOn w:val="Normln"/>
    <w:link w:val="TextbublinyChar"/>
    <w:uiPriority w:val="99"/>
    <w:semiHidden/>
    <w:unhideWhenUsed/>
    <w:rsid w:val="002441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4189"/>
    <w:rPr>
      <w:rFonts w:ascii="Tahoma" w:hAnsi="Tahoma" w:cs="Tahoma"/>
      <w:sz w:val="16"/>
      <w:szCs w:val="16"/>
    </w:rPr>
  </w:style>
  <w:style w:type="paragraph" w:customStyle="1" w:styleId="Default">
    <w:name w:val="Default"/>
    <w:rsid w:val="00443835"/>
    <w:pPr>
      <w:autoSpaceDE w:val="0"/>
      <w:autoSpaceDN w:val="0"/>
      <w:adjustRightInd w:val="0"/>
      <w:spacing w:after="0" w:line="240" w:lineRule="auto"/>
    </w:pPr>
    <w:rPr>
      <w:rFonts w:ascii="Century Gothic" w:hAnsi="Century Gothic" w:cs="Century Gothic"/>
      <w:color w:val="000000"/>
      <w:sz w:val="24"/>
      <w:szCs w:val="24"/>
    </w:rPr>
  </w:style>
  <w:style w:type="character" w:styleId="Siln">
    <w:name w:val="Strong"/>
    <w:basedOn w:val="Standardnpsmoodstavce"/>
    <w:uiPriority w:val="22"/>
    <w:qFormat/>
    <w:rsid w:val="00925A76"/>
    <w:rPr>
      <w:b/>
      <w:bCs/>
    </w:rPr>
  </w:style>
  <w:style w:type="paragraph" w:styleId="Normlnweb">
    <w:name w:val="Normal (Web)"/>
    <w:basedOn w:val="Normln"/>
    <w:uiPriority w:val="99"/>
    <w:semiHidden/>
    <w:unhideWhenUsed/>
    <w:rsid w:val="00925A76"/>
    <w:pPr>
      <w:spacing w:before="100" w:beforeAutospacing="1" w:after="100" w:afterAutospacing="1"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925A76"/>
    <w:rPr>
      <w:i/>
      <w:iCs/>
    </w:rPr>
  </w:style>
  <w:style w:type="character" w:customStyle="1" w:styleId="Nadpis1Char">
    <w:name w:val="Nadpis 1 Char"/>
    <w:basedOn w:val="Standardnpsmoodstavce"/>
    <w:link w:val="Nadpis1"/>
    <w:uiPriority w:val="9"/>
    <w:rsid w:val="00876653"/>
    <w:rPr>
      <w:rFonts w:ascii="Times New Roman" w:eastAsia="Times New Roman" w:hAnsi="Times New Roman" w:cs="Times New Roman"/>
      <w:b/>
      <w:bCs/>
      <w:kern w:val="36"/>
      <w:sz w:val="48"/>
      <w:szCs w:val="48"/>
      <w:lang w:val="cs-CZ" w:eastAsia="cs-CZ"/>
    </w:rPr>
  </w:style>
  <w:style w:type="character" w:styleId="Odkaznakoment">
    <w:name w:val="annotation reference"/>
    <w:basedOn w:val="Standardnpsmoodstavce"/>
    <w:uiPriority w:val="99"/>
    <w:semiHidden/>
    <w:unhideWhenUsed/>
    <w:rsid w:val="00683A64"/>
    <w:rPr>
      <w:sz w:val="16"/>
      <w:szCs w:val="16"/>
    </w:rPr>
  </w:style>
  <w:style w:type="paragraph" w:styleId="Textkomente">
    <w:name w:val="annotation text"/>
    <w:basedOn w:val="Normln"/>
    <w:link w:val="TextkomenteChar"/>
    <w:uiPriority w:val="99"/>
    <w:semiHidden/>
    <w:unhideWhenUsed/>
    <w:rsid w:val="00683A64"/>
    <w:pPr>
      <w:spacing w:line="240" w:lineRule="auto"/>
    </w:pPr>
    <w:rPr>
      <w:sz w:val="20"/>
      <w:szCs w:val="20"/>
    </w:rPr>
  </w:style>
  <w:style w:type="character" w:customStyle="1" w:styleId="TextkomenteChar">
    <w:name w:val="Text komentáře Char"/>
    <w:basedOn w:val="Standardnpsmoodstavce"/>
    <w:link w:val="Textkomente"/>
    <w:uiPriority w:val="99"/>
    <w:semiHidden/>
    <w:rsid w:val="00683A64"/>
    <w:rPr>
      <w:sz w:val="20"/>
      <w:szCs w:val="20"/>
    </w:rPr>
  </w:style>
  <w:style w:type="paragraph" w:styleId="Pedmtkomente">
    <w:name w:val="annotation subject"/>
    <w:basedOn w:val="Textkomente"/>
    <w:next w:val="Textkomente"/>
    <w:link w:val="PedmtkomenteChar"/>
    <w:uiPriority w:val="99"/>
    <w:semiHidden/>
    <w:unhideWhenUsed/>
    <w:rsid w:val="00683A64"/>
    <w:rPr>
      <w:b/>
      <w:bCs/>
    </w:rPr>
  </w:style>
  <w:style w:type="character" w:customStyle="1" w:styleId="PedmtkomenteChar">
    <w:name w:val="Předmět komentáře Char"/>
    <w:basedOn w:val="TextkomenteChar"/>
    <w:link w:val="Pedmtkomente"/>
    <w:uiPriority w:val="99"/>
    <w:semiHidden/>
    <w:rsid w:val="00683A64"/>
    <w:rPr>
      <w:b/>
      <w:bCs/>
      <w:sz w:val="20"/>
      <w:szCs w:val="20"/>
    </w:rPr>
  </w:style>
  <w:style w:type="character" w:customStyle="1" w:styleId="titulped">
    <w:name w:val="titul_před"/>
    <w:basedOn w:val="Standardnpsmoodstavce"/>
    <w:rsid w:val="00423C3C"/>
  </w:style>
  <w:style w:type="character" w:customStyle="1" w:styleId="titulza">
    <w:name w:val="titul_za"/>
    <w:basedOn w:val="Standardnpsmoodstavce"/>
    <w:rsid w:val="00423C3C"/>
  </w:style>
  <w:style w:type="character" w:styleId="Sledovanodkaz">
    <w:name w:val="FollowedHyperlink"/>
    <w:basedOn w:val="Standardnpsmoodstavce"/>
    <w:uiPriority w:val="99"/>
    <w:semiHidden/>
    <w:unhideWhenUsed/>
    <w:rsid w:val="00DC13B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9394510">
      <w:bodyDiv w:val="1"/>
      <w:marLeft w:val="0"/>
      <w:marRight w:val="0"/>
      <w:marTop w:val="0"/>
      <w:marBottom w:val="0"/>
      <w:divBdr>
        <w:top w:val="none" w:sz="0" w:space="0" w:color="auto"/>
        <w:left w:val="none" w:sz="0" w:space="0" w:color="auto"/>
        <w:bottom w:val="none" w:sz="0" w:space="0" w:color="auto"/>
        <w:right w:val="none" w:sz="0" w:space="0" w:color="auto"/>
      </w:divBdr>
    </w:div>
    <w:div w:id="349570216">
      <w:bodyDiv w:val="1"/>
      <w:marLeft w:val="0"/>
      <w:marRight w:val="0"/>
      <w:marTop w:val="0"/>
      <w:marBottom w:val="0"/>
      <w:divBdr>
        <w:top w:val="none" w:sz="0" w:space="0" w:color="auto"/>
        <w:left w:val="none" w:sz="0" w:space="0" w:color="auto"/>
        <w:bottom w:val="none" w:sz="0" w:space="0" w:color="auto"/>
        <w:right w:val="none" w:sz="0" w:space="0" w:color="auto"/>
      </w:divBdr>
    </w:div>
    <w:div w:id="567960344">
      <w:bodyDiv w:val="1"/>
      <w:marLeft w:val="0"/>
      <w:marRight w:val="0"/>
      <w:marTop w:val="0"/>
      <w:marBottom w:val="0"/>
      <w:divBdr>
        <w:top w:val="none" w:sz="0" w:space="0" w:color="auto"/>
        <w:left w:val="none" w:sz="0" w:space="0" w:color="auto"/>
        <w:bottom w:val="none" w:sz="0" w:space="0" w:color="auto"/>
        <w:right w:val="none" w:sz="0" w:space="0" w:color="auto"/>
      </w:divBdr>
      <w:divsChild>
        <w:div w:id="1743259312">
          <w:marLeft w:val="0"/>
          <w:marRight w:val="0"/>
          <w:marTop w:val="0"/>
          <w:marBottom w:val="0"/>
          <w:divBdr>
            <w:top w:val="none" w:sz="0" w:space="0" w:color="auto"/>
            <w:left w:val="none" w:sz="0" w:space="0" w:color="auto"/>
            <w:bottom w:val="none" w:sz="0" w:space="0" w:color="auto"/>
            <w:right w:val="none" w:sz="0" w:space="0" w:color="auto"/>
          </w:divBdr>
        </w:div>
      </w:divsChild>
    </w:div>
    <w:div w:id="1387603422">
      <w:bodyDiv w:val="1"/>
      <w:marLeft w:val="0"/>
      <w:marRight w:val="0"/>
      <w:marTop w:val="0"/>
      <w:marBottom w:val="0"/>
      <w:divBdr>
        <w:top w:val="none" w:sz="0" w:space="0" w:color="auto"/>
        <w:left w:val="none" w:sz="0" w:space="0" w:color="auto"/>
        <w:bottom w:val="none" w:sz="0" w:space="0" w:color="auto"/>
        <w:right w:val="none" w:sz="0" w:space="0" w:color="auto"/>
      </w:divBdr>
    </w:div>
    <w:div w:id="1527064165">
      <w:bodyDiv w:val="1"/>
      <w:marLeft w:val="0"/>
      <w:marRight w:val="0"/>
      <w:marTop w:val="0"/>
      <w:marBottom w:val="0"/>
      <w:divBdr>
        <w:top w:val="none" w:sz="0" w:space="0" w:color="auto"/>
        <w:left w:val="none" w:sz="0" w:space="0" w:color="auto"/>
        <w:bottom w:val="none" w:sz="0" w:space="0" w:color="auto"/>
        <w:right w:val="none" w:sz="0" w:space="0" w:color="auto"/>
      </w:divBdr>
    </w:div>
    <w:div w:id="19427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usti.cz/Objednavka.aspx?kod=2610"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zeumusti.cz/v2611/NESTABILNI-PODLOZI-SESUVY-ZIVOTY-A-PERSPEKTIV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2861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Ústav struktury a mechaniky hornin AV ČR, v.v.i.</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dc:creator>
  <cp:lastModifiedBy>marifi@seznam.cz</cp:lastModifiedBy>
  <cp:revision>3</cp:revision>
  <cp:lastPrinted>2017-05-26T08:25:00Z</cp:lastPrinted>
  <dcterms:created xsi:type="dcterms:W3CDTF">2021-12-03T10:34:00Z</dcterms:created>
  <dcterms:modified xsi:type="dcterms:W3CDTF">2021-12-03T10:35:00Z</dcterms:modified>
</cp:coreProperties>
</file>