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BFE" w:rsidRDefault="00034BFE" w:rsidP="00034BFE">
      <w:pPr>
        <w:jc w:val="both"/>
        <w:rPr>
          <w:b/>
          <w:sz w:val="28"/>
        </w:rPr>
      </w:pPr>
      <w:r w:rsidRPr="00034BFE">
        <w:rPr>
          <w:b/>
          <w:sz w:val="28"/>
        </w:rPr>
        <w:t xml:space="preserve">Čeští vědci objasňují, jak fungují „molekulární nůžky“. </w:t>
      </w:r>
    </w:p>
    <w:p w:rsidR="00034BFE" w:rsidRPr="00034BFE" w:rsidRDefault="00034BFE" w:rsidP="00034BFE">
      <w:pPr>
        <w:jc w:val="both"/>
        <w:rPr>
          <w:b/>
          <w:sz w:val="28"/>
        </w:rPr>
      </w:pPr>
      <w:r w:rsidRPr="00034BFE">
        <w:rPr>
          <w:b/>
          <w:sz w:val="28"/>
        </w:rPr>
        <w:t>Může to pomoci k léčbě dědičných nemocí</w:t>
      </w:r>
    </w:p>
    <w:p w:rsidR="00034BFE" w:rsidRDefault="00034BFE" w:rsidP="00034BFE">
      <w:pPr>
        <w:jc w:val="both"/>
        <w:rPr>
          <w:snapToGrid/>
          <w:sz w:val="22"/>
          <w:szCs w:val="22"/>
          <w:lang w:eastAsia="en-US"/>
        </w:rPr>
      </w:pPr>
    </w:p>
    <w:p w:rsidR="00034BFE" w:rsidRDefault="00034BFE" w:rsidP="00034BFE">
      <w:pPr>
        <w:jc w:val="both"/>
        <w:rPr>
          <w:b/>
        </w:rPr>
      </w:pPr>
      <w:r>
        <w:rPr>
          <w:b/>
        </w:rPr>
        <w:t>Mezinárodnímu vědeckému týmu pod vedením Davida Staňka z Ústavu molekulární genetiky AV ČR se podařilo objasnit principy, na základě kterých lidské buňky identifikují a doslova vystřihují v procesu zvaném RNA sest</w:t>
      </w:r>
      <w:r>
        <w:rPr>
          <w:b/>
        </w:rPr>
        <w:t>řih nepotřebné sekvence</w:t>
      </w:r>
      <w:r>
        <w:rPr>
          <w:b/>
        </w:rPr>
        <w:t xml:space="preserve"> v našich genech.  Jejich objev může přispět k léčbě genetických poruch a publikoval ho prestižní mezinárodní časopis </w:t>
      </w:r>
      <w:proofErr w:type="spellStart"/>
      <w:r>
        <w:rPr>
          <w:b/>
          <w:i/>
        </w:rPr>
        <w:t>Nucleic</w:t>
      </w:r>
      <w:proofErr w:type="spellEnd"/>
      <w:r>
        <w:rPr>
          <w:b/>
          <w:i/>
        </w:rPr>
        <w:t xml:space="preserve"> </w:t>
      </w:r>
      <w:proofErr w:type="spellStart"/>
      <w:r>
        <w:rPr>
          <w:b/>
          <w:i/>
        </w:rPr>
        <w:t>Acids</w:t>
      </w:r>
      <w:proofErr w:type="spellEnd"/>
      <w:r>
        <w:rPr>
          <w:b/>
          <w:i/>
        </w:rPr>
        <w:t xml:space="preserve"> </w:t>
      </w:r>
      <w:proofErr w:type="spellStart"/>
      <w:r>
        <w:rPr>
          <w:b/>
          <w:i/>
        </w:rPr>
        <w:t>Research</w:t>
      </w:r>
      <w:proofErr w:type="spellEnd"/>
      <w:r>
        <w:rPr>
          <w:b/>
        </w:rPr>
        <w:t>.</w:t>
      </w:r>
    </w:p>
    <w:p w:rsidR="00034BFE" w:rsidRDefault="00034BFE" w:rsidP="00034BFE">
      <w:pPr>
        <w:jc w:val="both"/>
      </w:pPr>
    </w:p>
    <w:p w:rsidR="00034BFE" w:rsidRDefault="00034BFE" w:rsidP="00034BFE">
      <w:pPr>
        <w:jc w:val="both"/>
      </w:pPr>
      <w:r>
        <w:t>„Náš výzkum se obecně týká toho, jak se skládá buněčná mašinerie, která vystřihuje nepotřebné sekvence v RNA. Jde o velmi složitý komplex, ve kterém se potkávají a skládají desítky různých bílkovin. Nás zajímá, jak tato mašinérie rozpoznává hranice mezi tím, co se má vystřihnout a co se má zachovat,“ říká David Staněk, který o sestřihu RNA mluví jako o „molekulárních nůžkách“. Ty ovšem na rozdíl od běžných nůžek pracují s přesností na jeden nukleotid, což je jedno pís</w:t>
      </w:r>
      <w:r>
        <w:t>menko genetické abecedy – celkem jich</w:t>
      </w:r>
      <w:r>
        <w:t xml:space="preserve"> je v lidské DNA na 3 miliardy. „Čím lépe budeme rozumět RNA sestřihu, tím větší šance budeme mít šanci ho opravit,“ dodává Staněk. </w:t>
      </w:r>
    </w:p>
    <w:p w:rsidR="00034BFE" w:rsidRDefault="00034BFE" w:rsidP="00034BFE">
      <w:pPr>
        <w:jc w:val="both"/>
      </w:pPr>
      <w:r>
        <w:t>Potencionální využití vědeckého objevu je široké, i proto se jím zabývají vědecké týmy na celém světě. Americká laboratoř například uvedla loni na trh lék, který vycházel z RNA sestřihu a léčí dosud smrtelnou nemoc, spinální svalovou atrofii u dětských pacientů.</w:t>
      </w:r>
    </w:p>
    <w:p w:rsidR="00034BFE" w:rsidRDefault="00034BFE" w:rsidP="00034BFE">
      <w:pPr>
        <w:jc w:val="both"/>
        <w:rPr>
          <w:b/>
        </w:rPr>
      </w:pPr>
    </w:p>
    <w:p w:rsidR="00034BFE" w:rsidRDefault="00034BFE" w:rsidP="00034BFE">
      <w:pPr>
        <w:jc w:val="both"/>
        <w:rPr>
          <w:b/>
        </w:rPr>
      </w:pPr>
      <w:r>
        <w:rPr>
          <w:b/>
        </w:rPr>
        <w:t xml:space="preserve">Jak se stříhá RNA </w:t>
      </w:r>
    </w:p>
    <w:p w:rsidR="00034BFE" w:rsidRDefault="00034BFE" w:rsidP="00034BFE">
      <w:pPr>
        <w:jc w:val="both"/>
      </w:pPr>
      <w:r>
        <w:t xml:space="preserve">Základním stavebním kamenem všech živých organismů jsou bílkoviny, které vznikají tak, že se informace z DNA přepíše do molekuly RNA, která následně slouží jako předloha pro výrobu bílkovin. „Kromě těchto RNA jsou však v buňkách přítomny tisíce dalších molekul RNA, které žádné bílkoviny nekódují. Ty sice vypadají stejně jako ty, podle kterých se vyrábí bílkoviny, ale je mezi nimi zásadní rozdíl. Molekulární nůžky si jich moc nevšímají a RNA sestřih u nich probíhá velice pomalu a neefektivně. Toho jsme využili a porovnáním těchto RNA s těmi, které </w:t>
      </w:r>
      <w:r>
        <w:lastRenderedPageBreak/>
        <w:t>se stříhají</w:t>
      </w:r>
      <w:r>
        <w:t xml:space="preserve"> dobře, jsme </w:t>
      </w:r>
      <w:r>
        <w:t>popsali, jak jsou molekulární nůžky naváděny na úseky RNA, které se mají vystřihnout</w:t>
      </w:r>
      <w:r>
        <w:t>,</w:t>
      </w:r>
      <w:r>
        <w:t>“ říká D</w:t>
      </w:r>
      <w:r>
        <w:t>avid Staněk.</w:t>
      </w:r>
    </w:p>
    <w:p w:rsidR="00034BFE" w:rsidRDefault="00034BFE" w:rsidP="00034BFE">
      <w:pPr>
        <w:jc w:val="both"/>
      </w:pPr>
      <w:bookmarkStart w:id="0" w:name="_GoBack"/>
      <w:bookmarkEnd w:id="0"/>
    </w:p>
    <w:p w:rsidR="00034BFE" w:rsidRDefault="00034BFE" w:rsidP="00034BFE">
      <w:pPr>
        <w:jc w:val="both"/>
        <w:rPr>
          <w:b/>
        </w:rPr>
      </w:pPr>
      <w:r>
        <w:rPr>
          <w:b/>
        </w:rPr>
        <w:t>Pořád jsme součástí evoluce</w:t>
      </w:r>
    </w:p>
    <w:p w:rsidR="00034BFE" w:rsidRDefault="00034BFE" w:rsidP="00034BFE">
      <w:pPr>
        <w:jc w:val="both"/>
      </w:pPr>
      <w:r>
        <w:t xml:space="preserve">Tým z Ústavu molekulární genetiky AV ČR na výzkumu spolupracoval s Londýnským institutem lékařských věd a s německou Goethovou univerzitou ve Frankfurtu nad Mohanem. Používal přitom jak metodu hlubokého </w:t>
      </w:r>
      <w:proofErr w:type="spellStart"/>
      <w:r>
        <w:t>sekvenování</w:t>
      </w:r>
      <w:proofErr w:type="spellEnd"/>
      <w:r>
        <w:t xml:space="preserve"> RNA, tak i analýzu lidských RNA přístupných ve veřejných databázích.</w:t>
      </w:r>
    </w:p>
    <w:p w:rsidR="00034BFE" w:rsidRDefault="00034BFE" w:rsidP="00034BFE">
      <w:pPr>
        <w:jc w:val="both"/>
      </w:pPr>
      <w:r>
        <w:t>„Dlouho se myslelo, že nekódující RNA molekuly nemají v organismu žádný význam, ale v posledních několika letech, kdy probíhá jejich intenzivní výzkum, se ukazuje, že nekódující RNA se účastní mnoha buněčných procesů včetně rozvoje rakoviny. Nekódující RNA jsou důkazem, že lidské genomy jsou plastické a neustále v nich vznikají nové sekvence. Pořád jsme součástí evoluce,“ komentuje to David Staněk.</w:t>
      </w:r>
    </w:p>
    <w:p w:rsidR="00034BFE" w:rsidRDefault="00034BFE" w:rsidP="00034BFE">
      <w:pPr>
        <w:jc w:val="both"/>
        <w:rPr>
          <w:b/>
        </w:rPr>
      </w:pPr>
    </w:p>
    <w:p w:rsidR="00034BFE" w:rsidRDefault="00034BFE" w:rsidP="00034BFE">
      <w:pPr>
        <w:jc w:val="both"/>
        <w:rPr>
          <w:b/>
        </w:rPr>
      </w:pPr>
      <w:r>
        <w:rPr>
          <w:b/>
        </w:rPr>
        <w:t>Publikace:</w:t>
      </w:r>
    </w:p>
    <w:p w:rsidR="00034BFE" w:rsidRDefault="00034BFE" w:rsidP="00034BFE">
      <w:pPr>
        <w:jc w:val="both"/>
      </w:pPr>
      <w:r>
        <w:rPr>
          <w:u w:val="single"/>
        </w:rPr>
        <w:t>Krchňáková Z</w:t>
      </w:r>
      <w:r>
        <w:t xml:space="preserve">, </w:t>
      </w:r>
      <w:proofErr w:type="spellStart"/>
      <w:r>
        <w:rPr>
          <w:u w:val="single"/>
        </w:rPr>
        <w:t>Thakur</w:t>
      </w:r>
      <w:proofErr w:type="spellEnd"/>
      <w:r>
        <w:rPr>
          <w:u w:val="single"/>
        </w:rPr>
        <w:t xml:space="preserve"> PK,</w:t>
      </w:r>
      <w:r>
        <w:t xml:space="preserve"> </w:t>
      </w:r>
      <w:r>
        <w:rPr>
          <w:u w:val="single"/>
        </w:rPr>
        <w:t>Krausová M</w:t>
      </w:r>
      <w:r>
        <w:t xml:space="preserve">, </w:t>
      </w:r>
      <w:proofErr w:type="spellStart"/>
      <w:r>
        <w:t>Bieberstein</w:t>
      </w:r>
      <w:proofErr w:type="spellEnd"/>
      <w:r>
        <w:t xml:space="preserve"> N, </w:t>
      </w:r>
      <w:proofErr w:type="spellStart"/>
      <w:r>
        <w:t>Haberman</w:t>
      </w:r>
      <w:proofErr w:type="spellEnd"/>
      <w:r>
        <w:t xml:space="preserve"> N, Müller-</w:t>
      </w:r>
      <w:proofErr w:type="spellStart"/>
      <w:r>
        <w:t>McNicoll</w:t>
      </w:r>
      <w:proofErr w:type="spellEnd"/>
      <w:r>
        <w:t xml:space="preserve"> M, </w:t>
      </w:r>
      <w:r>
        <w:rPr>
          <w:u w:val="single"/>
        </w:rPr>
        <w:t>Staněk D</w:t>
      </w:r>
      <w:r>
        <w:t xml:space="preserve">: </w:t>
      </w:r>
      <w:proofErr w:type="spellStart"/>
      <w:r>
        <w:t>Splicing</w:t>
      </w:r>
      <w:proofErr w:type="spellEnd"/>
      <w:r>
        <w:t xml:space="preserve"> </w:t>
      </w:r>
      <w:proofErr w:type="spellStart"/>
      <w:r>
        <w:t>of</w:t>
      </w:r>
      <w:proofErr w:type="spellEnd"/>
      <w:r>
        <w:t xml:space="preserve"> long non-</w:t>
      </w:r>
      <w:proofErr w:type="spellStart"/>
      <w:r>
        <w:t>coding</w:t>
      </w:r>
      <w:proofErr w:type="spellEnd"/>
      <w:r>
        <w:t xml:space="preserve"> </w:t>
      </w:r>
      <w:proofErr w:type="spellStart"/>
      <w:r>
        <w:t>RNAs</w:t>
      </w:r>
      <w:proofErr w:type="spellEnd"/>
      <w:r>
        <w:t xml:space="preserve"> </w:t>
      </w:r>
      <w:proofErr w:type="spellStart"/>
      <w:r>
        <w:t>primarily</w:t>
      </w:r>
      <w:proofErr w:type="spellEnd"/>
      <w:r>
        <w:t xml:space="preserve"> </w:t>
      </w:r>
      <w:proofErr w:type="spellStart"/>
      <w:r>
        <w:t>depends</w:t>
      </w:r>
      <w:proofErr w:type="spellEnd"/>
      <w:r>
        <w:t xml:space="preserve"> on </w:t>
      </w:r>
      <w:proofErr w:type="spellStart"/>
      <w:r>
        <w:t>polypyrimidine</w:t>
      </w:r>
      <w:proofErr w:type="spellEnd"/>
      <w:r>
        <w:t xml:space="preserve"> </w:t>
      </w:r>
      <w:proofErr w:type="spellStart"/>
      <w:r>
        <w:t>tract</w:t>
      </w:r>
      <w:proofErr w:type="spellEnd"/>
      <w:r>
        <w:t xml:space="preserve"> and 5' </w:t>
      </w:r>
      <w:proofErr w:type="spellStart"/>
      <w:r>
        <w:t>splice-site</w:t>
      </w:r>
      <w:proofErr w:type="spellEnd"/>
      <w:r>
        <w:t xml:space="preserve"> </w:t>
      </w:r>
      <w:proofErr w:type="spellStart"/>
      <w:r>
        <w:t>sequences</w:t>
      </w:r>
      <w:proofErr w:type="spellEnd"/>
      <w:r>
        <w:t xml:space="preserve"> </w:t>
      </w:r>
      <w:proofErr w:type="spellStart"/>
      <w:r>
        <w:t>due</w:t>
      </w:r>
      <w:proofErr w:type="spellEnd"/>
      <w:r>
        <w:t xml:space="preserve"> to </w:t>
      </w:r>
      <w:proofErr w:type="spellStart"/>
      <w:r>
        <w:t>weak</w:t>
      </w:r>
      <w:proofErr w:type="spellEnd"/>
      <w:r>
        <w:t xml:space="preserve"> </w:t>
      </w:r>
      <w:proofErr w:type="spellStart"/>
      <w:r>
        <w:t>interactions</w:t>
      </w:r>
      <w:proofErr w:type="spellEnd"/>
      <w:r>
        <w:t xml:space="preserve"> </w:t>
      </w:r>
      <w:proofErr w:type="spellStart"/>
      <w:r>
        <w:t>with</w:t>
      </w:r>
      <w:proofErr w:type="spellEnd"/>
      <w:r>
        <w:t xml:space="preserve"> SR </w:t>
      </w:r>
      <w:proofErr w:type="spellStart"/>
      <w:r>
        <w:t>proteins</w:t>
      </w:r>
      <w:proofErr w:type="spellEnd"/>
      <w:r>
        <w:t xml:space="preserve">. </w:t>
      </w:r>
      <w:proofErr w:type="spellStart"/>
      <w:r>
        <w:rPr>
          <w:b/>
        </w:rPr>
        <w:t>Nucleic</w:t>
      </w:r>
      <w:proofErr w:type="spellEnd"/>
      <w:r>
        <w:rPr>
          <w:b/>
        </w:rPr>
        <w:t xml:space="preserve"> </w:t>
      </w:r>
      <w:proofErr w:type="spellStart"/>
      <w:r>
        <w:rPr>
          <w:b/>
        </w:rPr>
        <w:t>Acids</w:t>
      </w:r>
      <w:proofErr w:type="spellEnd"/>
      <w:r>
        <w:rPr>
          <w:b/>
        </w:rPr>
        <w:t xml:space="preserve"> Res. 2018</w:t>
      </w:r>
      <w:r>
        <w:t xml:space="preserve"> Nov 16. </w:t>
      </w:r>
      <w:proofErr w:type="spellStart"/>
      <w:r>
        <w:t>doi</w:t>
      </w:r>
      <w:proofErr w:type="spellEnd"/>
      <w:r>
        <w:t>: 10.1093/</w:t>
      </w:r>
      <w:proofErr w:type="spellStart"/>
      <w:r>
        <w:t>nar</w:t>
      </w:r>
      <w:proofErr w:type="spellEnd"/>
      <w:r>
        <w:t>/gky1147. [</w:t>
      </w:r>
      <w:proofErr w:type="spellStart"/>
      <w:r>
        <w:t>Epub</w:t>
      </w:r>
      <w:proofErr w:type="spellEnd"/>
      <w:r>
        <w:t xml:space="preserve"> </w:t>
      </w:r>
      <w:proofErr w:type="spellStart"/>
      <w:r>
        <w:t>ahead</w:t>
      </w:r>
      <w:proofErr w:type="spellEnd"/>
      <w:r>
        <w:t xml:space="preserve"> </w:t>
      </w:r>
      <w:proofErr w:type="spellStart"/>
      <w:r>
        <w:t>of</w:t>
      </w:r>
      <w:proofErr w:type="spellEnd"/>
      <w:r>
        <w:t xml:space="preserve"> </w:t>
      </w:r>
      <w:proofErr w:type="spellStart"/>
      <w:r>
        <w:t>print</w:t>
      </w:r>
      <w:proofErr w:type="spellEnd"/>
      <w:r>
        <w:t>]</w:t>
      </w:r>
    </w:p>
    <w:p w:rsidR="00034BFE" w:rsidRDefault="00034BFE" w:rsidP="00034BFE">
      <w:pPr>
        <w:jc w:val="both"/>
        <w:rPr>
          <w:b/>
          <w:lang w:val="de-DE"/>
        </w:rPr>
      </w:pPr>
    </w:p>
    <w:p w:rsidR="00034BFE" w:rsidRDefault="00034BFE" w:rsidP="00034BFE">
      <w:pPr>
        <w:jc w:val="both"/>
        <w:rPr>
          <w:b/>
          <w:lang w:val="de-DE"/>
        </w:rPr>
      </w:pPr>
      <w:r>
        <w:rPr>
          <w:b/>
          <w:lang w:val="de-DE"/>
        </w:rPr>
        <w:t xml:space="preserve">Kontakt: </w:t>
      </w:r>
    </w:p>
    <w:p w:rsidR="00034BFE" w:rsidRDefault="00034BFE" w:rsidP="00034BFE">
      <w:pPr>
        <w:jc w:val="both"/>
        <w:rPr>
          <w:lang w:val="de-DE"/>
        </w:rPr>
      </w:pPr>
      <w:r>
        <w:rPr>
          <w:lang w:val="de-DE"/>
        </w:rPr>
        <w:t xml:space="preserve">Doc. </w:t>
      </w:r>
      <w:r>
        <w:t>David Staněk</w:t>
      </w:r>
      <w:r>
        <w:rPr>
          <w:lang w:val="de-DE"/>
        </w:rPr>
        <w:t xml:space="preserve">, </w:t>
      </w:r>
      <w:proofErr w:type="spellStart"/>
      <w:r>
        <w:rPr>
          <w:lang w:val="de-DE"/>
        </w:rPr>
        <w:t>tel</w:t>
      </w:r>
      <w:proofErr w:type="spellEnd"/>
      <w:r>
        <w:rPr>
          <w:lang w:val="de-DE"/>
        </w:rPr>
        <w:t xml:space="preserve">: </w:t>
      </w:r>
      <w:r>
        <w:t>296 443 118</w:t>
      </w:r>
      <w:r>
        <w:rPr>
          <w:lang w:val="de-DE"/>
        </w:rPr>
        <w:t xml:space="preserve">, </w:t>
      </w:r>
      <w:proofErr w:type="spellStart"/>
      <w:r>
        <w:rPr>
          <w:lang w:val="de-DE"/>
        </w:rPr>
        <w:t>e-mail</w:t>
      </w:r>
      <w:proofErr w:type="spellEnd"/>
      <w:r>
        <w:rPr>
          <w:lang w:val="de-DE"/>
        </w:rPr>
        <w:t xml:space="preserve">:  </w:t>
      </w:r>
      <w:hyperlink r:id="rId5" w:history="1">
        <w:r>
          <w:rPr>
            <w:rStyle w:val="Hypertextovodkaz"/>
            <w:lang w:val="de-DE"/>
          </w:rPr>
          <w:t>david.stanek@img.cas.cz</w:t>
        </w:r>
      </w:hyperlink>
    </w:p>
    <w:p w:rsidR="00034BFE" w:rsidRPr="00917377" w:rsidRDefault="00034BFE" w:rsidP="00034BFE">
      <w:pPr>
        <w:jc w:val="both"/>
      </w:pPr>
    </w:p>
    <w:p w:rsidR="007A4ACC" w:rsidRDefault="00034BFE"/>
    <w:sectPr w:rsidR="007A4ACC" w:rsidSect="00710FCE">
      <w:headerReference w:type="default" r:id="rId6"/>
      <w:footerReference w:type="default" r:id="rId7"/>
      <w:pgSz w:w="11906" w:h="16838"/>
      <w:pgMar w:top="3158" w:right="1133" w:bottom="1758" w:left="1701" w:header="709" w:footer="84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otiva Sans">
    <w:altName w:val="MS Gothic"/>
    <w:panose1 w:val="00000000000000000000"/>
    <w:charset w:val="00"/>
    <w:family w:val="modern"/>
    <w:notTrueType/>
    <w:pitch w:val="variable"/>
    <w:sig w:usb0="00000007" w:usb1="02000000" w:usb2="00000000" w:usb3="00000000" w:csb0="00000093"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F3C" w:rsidRDefault="00034BFE" w:rsidP="00710FCE">
    <w:pPr>
      <w:tabs>
        <w:tab w:val="right" w:pos="9072"/>
      </w:tabs>
      <w:rPr>
        <w:rFonts w:ascii="Arial" w:hAnsi="Arial" w:cs="Arial"/>
        <w:color w:val="0072B6"/>
        <w:sz w:val="14"/>
        <w:szCs w:val="14"/>
      </w:rPr>
    </w:pPr>
    <w:r>
      <w:rPr>
        <w:rFonts w:ascii="Arial" w:hAnsi="Arial" w:cs="Arial"/>
        <w:noProof/>
        <w:snapToGrid/>
        <w:color w:val="0072B6"/>
        <w:sz w:val="14"/>
        <w:szCs w:val="14"/>
        <w:lang w:eastAsia="cs-CZ"/>
      </w:rPr>
      <mc:AlternateContent>
        <mc:Choice Requires="wps">
          <w:drawing>
            <wp:anchor distT="0" distB="0" distL="114300" distR="114300" simplePos="0" relativeHeight="251659264" behindDoc="0" locked="0" layoutInCell="1" allowOverlap="1" wp14:anchorId="69786C54" wp14:editId="4BE0CC20">
              <wp:simplePos x="0" y="0"/>
              <wp:positionH relativeFrom="column">
                <wp:posOffset>-3810</wp:posOffset>
              </wp:positionH>
              <wp:positionV relativeFrom="paragraph">
                <wp:posOffset>52705</wp:posOffset>
              </wp:positionV>
              <wp:extent cx="5753100" cy="0"/>
              <wp:effectExtent l="0" t="0" r="19050" b="19050"/>
              <wp:wrapNone/>
              <wp:docPr id="4" name="Přímá spojnice 4"/>
              <wp:cNvGraphicFramePr/>
              <a:graphic xmlns:a="http://schemas.openxmlformats.org/drawingml/2006/main">
                <a:graphicData uri="http://schemas.microsoft.com/office/word/2010/wordprocessingShape">
                  <wps:wsp>
                    <wps:cNvCnPr/>
                    <wps:spPr>
                      <a:xfrm>
                        <a:off x="0" y="0"/>
                        <a:ext cx="57531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74992A" id="Přímá spojnice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4.15pt" to="452.7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" strokecolor="#5b9bd5 [3204]" strokeweight=".5pt">
              <v:stroke joinstyle="miter"/>
            </v:line>
          </w:pict>
        </mc:Fallback>
      </mc:AlternateContent>
    </w:r>
  </w:p>
  <w:p w:rsidR="001F0F3C" w:rsidRPr="00710FCE" w:rsidRDefault="00034BFE" w:rsidP="00710FCE">
    <w:pPr>
      <w:tabs>
        <w:tab w:val="right" w:pos="9072"/>
      </w:tabs>
      <w:spacing w:line="240" w:lineRule="auto"/>
      <w:contextualSpacing/>
      <w:rPr>
        <w:rFonts w:ascii="Motiva Sans" w:hAnsi="Motiva Sans" w:cs="Calibri"/>
        <w:b/>
        <w:color w:val="0072B6"/>
        <w:sz w:val="16"/>
        <w:szCs w:val="16"/>
      </w:rPr>
    </w:pPr>
    <w:r w:rsidRPr="00710FCE">
      <w:rPr>
        <w:rFonts w:ascii="Motiva Sans" w:hAnsi="Motiva Sans" w:cs="Calibri"/>
        <w:b/>
        <w:color w:val="0072B6"/>
        <w:sz w:val="16"/>
        <w:szCs w:val="16"/>
      </w:rPr>
      <w:t xml:space="preserve">Odbor mediální komunikace </w:t>
    </w:r>
    <w:r>
      <w:rPr>
        <w:rFonts w:ascii="Motiva Sans" w:hAnsi="Motiva Sans" w:cs="Calibri"/>
        <w:b/>
        <w:color w:val="0072B6"/>
        <w:sz w:val="16"/>
        <w:szCs w:val="16"/>
      </w:rPr>
      <w:tab/>
    </w:r>
    <w:r w:rsidRPr="00710FCE">
      <w:rPr>
        <w:rFonts w:ascii="Motiva Sans" w:hAnsi="Motiva Sans" w:cs="Calibri"/>
        <w:b/>
        <w:color w:val="0072B6"/>
        <w:sz w:val="16"/>
        <w:szCs w:val="16"/>
      </w:rPr>
      <w:t>Kontakt: Ing. Jan Martinek</w:t>
    </w:r>
  </w:p>
  <w:p w:rsidR="001F0F3C" w:rsidRPr="00710FCE" w:rsidRDefault="00034BFE" w:rsidP="00710FCE">
    <w:pPr>
      <w:tabs>
        <w:tab w:val="right" w:pos="9072"/>
      </w:tabs>
      <w:spacing w:line="240" w:lineRule="auto"/>
      <w:contextualSpacing/>
      <w:rPr>
        <w:rFonts w:ascii="Motiva Sans" w:hAnsi="Motiva Sans" w:cs="Calibri"/>
        <w:color w:val="0072B6"/>
        <w:sz w:val="16"/>
        <w:szCs w:val="16"/>
      </w:rPr>
    </w:pPr>
    <w:r w:rsidRPr="00710FCE">
      <w:rPr>
        <w:rFonts w:ascii="Motiva Sans" w:hAnsi="Motiva Sans" w:cs="Calibri"/>
        <w:color w:val="0072B6"/>
        <w:sz w:val="16"/>
        <w:szCs w:val="16"/>
      </w:rPr>
      <w:t>Kancelář Akademie věd ČR</w:t>
    </w:r>
    <w:r>
      <w:rPr>
        <w:rFonts w:ascii="Motiva Sans" w:hAnsi="Motiva Sans" w:cs="Calibri"/>
        <w:color w:val="0072B6"/>
        <w:sz w:val="16"/>
        <w:szCs w:val="16"/>
      </w:rPr>
      <w:t xml:space="preserve"> </w:t>
    </w:r>
    <w:r w:rsidRPr="00710FCE">
      <w:rPr>
        <w:rFonts w:ascii="Motiva Sans" w:hAnsi="Motiva Sans" w:cs="Calibri"/>
        <w:color w:val="0072B6"/>
        <w:sz w:val="16"/>
        <w:szCs w:val="16"/>
      </w:rPr>
      <w:tab/>
      <w:t xml:space="preserve">E-mail: </w:t>
    </w:r>
    <w:hyperlink r:id="rId1" w:history="1">
      <w:r w:rsidRPr="00710FCE">
        <w:rPr>
          <w:rStyle w:val="Hypertextovodkaz"/>
          <w:rFonts w:ascii="Motiva Sans" w:hAnsi="Motiva Sans" w:cs="Calibri"/>
          <w:color w:val="0072B6"/>
          <w:sz w:val="16"/>
          <w:szCs w:val="16"/>
        </w:rPr>
        <w:t>martinek@kav.cas.cz</w:t>
      </w:r>
    </w:hyperlink>
  </w:p>
  <w:p w:rsidR="001F0F3C" w:rsidRPr="00710FCE" w:rsidRDefault="00034BFE" w:rsidP="00710FCE">
    <w:pPr>
      <w:tabs>
        <w:tab w:val="right" w:pos="9072"/>
      </w:tabs>
      <w:spacing w:line="240" w:lineRule="auto"/>
      <w:contextualSpacing/>
      <w:rPr>
        <w:rFonts w:ascii="Motiva Sans" w:hAnsi="Motiva Sans" w:cs="Calibri"/>
        <w:color w:val="0072B6"/>
        <w:sz w:val="16"/>
        <w:szCs w:val="16"/>
      </w:rPr>
    </w:pPr>
    <w:r w:rsidRPr="00710FCE">
      <w:rPr>
        <w:rFonts w:ascii="Motiva Sans" w:hAnsi="Motiva Sans" w:cs="Calibri"/>
        <w:color w:val="0072B6"/>
        <w:sz w:val="16"/>
        <w:szCs w:val="16"/>
      </w:rPr>
      <w:t xml:space="preserve">Národní 3, 117 20 Praha 1 </w:t>
    </w:r>
    <w:r>
      <w:rPr>
        <w:rFonts w:ascii="Motiva Sans" w:hAnsi="Motiva Sans" w:cs="Calibri"/>
        <w:color w:val="0072B6"/>
        <w:sz w:val="16"/>
        <w:szCs w:val="16"/>
      </w:rPr>
      <w:tab/>
    </w:r>
    <w:r w:rsidRPr="00710FCE">
      <w:rPr>
        <w:rFonts w:ascii="Motiva Sans" w:hAnsi="Motiva Sans" w:cs="Calibri"/>
        <w:color w:val="0072B6"/>
        <w:sz w:val="16"/>
        <w:szCs w:val="16"/>
      </w:rPr>
      <w:t>Telefon: +420 221 403 423</w:t>
    </w:r>
  </w:p>
  <w:p w:rsidR="001F0F3C" w:rsidRPr="00710FCE" w:rsidRDefault="00034BFE" w:rsidP="00710FCE">
    <w:pPr>
      <w:tabs>
        <w:tab w:val="right" w:pos="9072"/>
      </w:tabs>
      <w:spacing w:line="240" w:lineRule="auto"/>
      <w:contextualSpacing/>
      <w:rPr>
        <w:rFonts w:ascii="Motiva Sans" w:hAnsi="Motiva Sans" w:cs="Calibri"/>
        <w:color w:val="0072B6"/>
        <w:sz w:val="16"/>
        <w:szCs w:val="16"/>
      </w:rPr>
    </w:pPr>
    <w:r w:rsidRPr="00710FCE">
      <w:rPr>
        <w:rFonts w:ascii="Motiva Sans" w:hAnsi="Motiva Sans" w:cs="Calibri"/>
        <w:color w:val="0072B6"/>
        <w:sz w:val="16"/>
        <w:szCs w:val="16"/>
      </w:rPr>
      <w:t xml:space="preserve">www.press.avcr.cz, </w:t>
    </w:r>
    <w:hyperlink r:id="rId2" w:history="1">
      <w:r w:rsidRPr="00710FCE">
        <w:rPr>
          <w:rStyle w:val="Hypertextovodkaz"/>
          <w:rFonts w:ascii="Motiva Sans" w:hAnsi="Motiva Sans" w:cs="Calibri"/>
          <w:color w:val="0072B6"/>
          <w:sz w:val="16"/>
          <w:szCs w:val="16"/>
        </w:rPr>
        <w:t>www.avcr.cz</w:t>
      </w:r>
    </w:hyperlink>
    <w:r w:rsidRPr="00710FCE">
      <w:rPr>
        <w:rFonts w:ascii="Motiva Sans" w:hAnsi="Motiva Sans" w:cs="Calibri"/>
        <w:color w:val="0072B6"/>
        <w:sz w:val="16"/>
        <w:szCs w:val="16"/>
      </w:rPr>
      <w:tab/>
      <w:t xml:space="preserve">Mobil: +420 </w:t>
    </w:r>
    <w:r w:rsidRPr="00710FCE">
      <w:rPr>
        <w:rFonts w:ascii="Motiva Sans" w:hAnsi="Motiva Sans" w:cs="Calibri"/>
        <w:color w:val="0072B6"/>
        <w:sz w:val="16"/>
        <w:szCs w:val="16"/>
      </w:rPr>
      <w:t>602 270</w:t>
    </w:r>
    <w:r w:rsidRPr="00710FCE">
      <w:rPr>
        <w:rFonts w:ascii="Courier New" w:hAnsi="Courier New" w:cs="Courier New"/>
        <w:color w:val="0072B6"/>
        <w:sz w:val="16"/>
        <w:szCs w:val="16"/>
      </w:rPr>
      <w:t> </w:t>
    </w:r>
    <w:r w:rsidRPr="00710FCE">
      <w:rPr>
        <w:rFonts w:ascii="Motiva Sans" w:hAnsi="Motiva Sans" w:cs="Calibri"/>
        <w:color w:val="0072B6"/>
        <w:sz w:val="16"/>
        <w:szCs w:val="16"/>
      </w:rPr>
      <w:t>999</w:t>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F3C" w:rsidRPr="00710FCE" w:rsidRDefault="00034BFE" w:rsidP="00710FCE">
    <w:pPr>
      <w:pStyle w:val="Zhlav"/>
    </w:pPr>
    <w:r>
      <w:rPr>
        <w:noProof/>
        <w:snapToGrid/>
        <w:lang w:eastAsia="cs-CZ"/>
      </w:rPr>
      <w:drawing>
        <wp:anchor distT="0" distB="0" distL="114300" distR="114300" simplePos="0" relativeHeight="251660288" behindDoc="1" locked="0" layoutInCell="1" allowOverlap="1" wp14:anchorId="6164803E" wp14:editId="6798BC30">
          <wp:simplePos x="0" y="0"/>
          <wp:positionH relativeFrom="page">
            <wp:posOffset>0</wp:posOffset>
          </wp:positionH>
          <wp:positionV relativeFrom="page">
            <wp:posOffset>0</wp:posOffset>
          </wp:positionV>
          <wp:extent cx="7560000" cy="2005200"/>
          <wp:effectExtent l="0" t="0" r="3175"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SKOVA ZPRAVA PRO WEB PDF LUŽAN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2005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BC05AE"/>
    <w:multiLevelType w:val="hybridMultilevel"/>
    <w:tmpl w:val="401003DA"/>
    <w:lvl w:ilvl="0" w:tplc="D0608CF0">
      <w:start w:val="1"/>
      <w:numFmt w:val="decimal"/>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BFE"/>
    <w:rsid w:val="00034BFE"/>
    <w:rsid w:val="00382453"/>
    <w:rsid w:val="009C5C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D875A"/>
  <w15:chartTrackingRefBased/>
  <w15:docId w15:val="{E01B8A96-9BE9-452F-BA4B-74BCD4B1C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34BFE"/>
    <w:pPr>
      <w:spacing w:after="0" w:line="360" w:lineRule="auto"/>
    </w:pPr>
    <w:rPr>
      <w:rFonts w:ascii="Times New Roman" w:eastAsia="Times New Roman" w:hAnsi="Times New Roman" w:cs="Times New Roman"/>
      <w:snapToGrid w:val="0"/>
      <w:sz w:val="24"/>
      <w:szCs w:val="24"/>
      <w:lang w:eastAsia="de-D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34BFE"/>
    <w:pPr>
      <w:tabs>
        <w:tab w:val="center" w:pos="4536"/>
        <w:tab w:val="right" w:pos="9072"/>
      </w:tabs>
      <w:spacing w:line="240" w:lineRule="auto"/>
    </w:pPr>
  </w:style>
  <w:style w:type="character" w:customStyle="1" w:styleId="ZhlavChar">
    <w:name w:val="Záhlaví Char"/>
    <w:basedOn w:val="Standardnpsmoodstavce"/>
    <w:link w:val="Zhlav"/>
    <w:uiPriority w:val="99"/>
    <w:rsid w:val="00034BFE"/>
    <w:rPr>
      <w:rFonts w:ascii="Times New Roman" w:eastAsia="Times New Roman" w:hAnsi="Times New Roman" w:cs="Times New Roman"/>
      <w:snapToGrid w:val="0"/>
      <w:sz w:val="24"/>
      <w:szCs w:val="24"/>
      <w:lang w:eastAsia="de-DE"/>
    </w:rPr>
  </w:style>
  <w:style w:type="character" w:styleId="Hypertextovodkaz">
    <w:name w:val="Hyperlink"/>
    <w:uiPriority w:val="99"/>
    <w:unhideWhenUsed/>
    <w:rsid w:val="00034B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27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mailto:david.stanek@img.cas.cz"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avcr.cz" TargetMode="External"/><Relationship Id="rId1" Type="http://schemas.openxmlformats.org/officeDocument/2006/relationships/hyperlink" Target="mailto:martinek@kav.cas.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472</Words>
  <Characters>2790</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SSC AVCR</Company>
  <LinksUpToDate>false</LinksUpToDate>
  <CharactersWithSpaces>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Horáčková Alice</dc:creator>
  <cp:keywords/>
  <dc:description/>
  <cp:lastModifiedBy>Horáčková Alice</cp:lastModifiedBy>
  <cp:revision>1</cp:revision>
  <dcterms:created xsi:type="dcterms:W3CDTF">2018-11-26T13:25:00Z</dcterms:created>
  <dcterms:modified xsi:type="dcterms:W3CDTF">2018-11-26T13:32:00Z</dcterms:modified>
</cp:coreProperties>
</file>